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8B6E" w14:textId="77777777" w:rsidR="00AD40FF" w:rsidRPr="00867510" w:rsidRDefault="00AD40FF" w:rsidP="00AD40FF">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867510">
        <w:rPr>
          <w:rFonts w:ascii="Times New Roman" w:eastAsia="Times New Roman" w:hAnsi="Times New Roman" w:cs="Times New Roman"/>
          <w:b/>
          <w:bCs/>
          <w:sz w:val="24"/>
          <w:szCs w:val="24"/>
          <w:lang w:val="en-US" w:eastAsia="ru-RU"/>
        </w:rPr>
        <w:t>MINISTRY OF HEALTH OF THE KYRGYZ REPUBLIC</w:t>
      </w:r>
      <w:r w:rsidRPr="00867510">
        <w:rPr>
          <w:rFonts w:ascii="Times New Roman" w:eastAsia="Times New Roman" w:hAnsi="Times New Roman" w:cs="Times New Roman"/>
          <w:sz w:val="24"/>
          <w:szCs w:val="24"/>
          <w:lang w:val="en-US" w:eastAsia="ru-RU"/>
        </w:rPr>
        <w:br/>
      </w:r>
      <w:r w:rsidRPr="00867510">
        <w:rPr>
          <w:rFonts w:ascii="Times New Roman" w:eastAsia="Times New Roman" w:hAnsi="Times New Roman" w:cs="Times New Roman"/>
          <w:b/>
          <w:bCs/>
          <w:sz w:val="24"/>
          <w:szCs w:val="24"/>
          <w:lang w:val="en-US" w:eastAsia="ru-RU"/>
        </w:rPr>
        <w:t>PRIMARY HEALTH CARE QUALITY IMPROVEMENT OPERATION</w:t>
      </w:r>
    </w:p>
    <w:p w14:paraId="1D08E117" w14:textId="77777777" w:rsidR="00AD40FF" w:rsidRPr="00867510" w:rsidRDefault="00AD40FF" w:rsidP="00AD40FF">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867510">
        <w:rPr>
          <w:rFonts w:ascii="Times New Roman" w:eastAsia="Times New Roman" w:hAnsi="Times New Roman" w:cs="Times New Roman"/>
          <w:b/>
          <w:bCs/>
          <w:sz w:val="24"/>
          <w:szCs w:val="24"/>
          <w:lang w:val="en-US" w:eastAsia="ru-RU"/>
        </w:rPr>
        <w:t>TERMS OF REFERENCE</w:t>
      </w:r>
    </w:p>
    <w:p w14:paraId="4D469A59" w14:textId="77777777" w:rsidR="00867510" w:rsidRPr="00867510" w:rsidRDefault="00867510" w:rsidP="00867510">
      <w:pPr>
        <w:pStyle w:val="a6"/>
        <w:jc w:val="center"/>
        <w:rPr>
          <w:b/>
          <w:lang w:val="en-US"/>
        </w:rPr>
      </w:pPr>
      <w:r w:rsidRPr="00867510">
        <w:rPr>
          <w:rStyle w:val="a9"/>
          <w:lang w:val="en-US"/>
        </w:rPr>
        <w:t>Monitoring and Evaluation (M&amp;E) Specialist of the PIU</w:t>
      </w:r>
      <w:r w:rsidRPr="00867510">
        <w:rPr>
          <w:lang w:val="en-US"/>
        </w:rPr>
        <w:br/>
      </w:r>
      <w:r w:rsidRPr="00867510">
        <w:rPr>
          <w:b/>
          <w:lang w:val="en-US"/>
        </w:rPr>
        <w:t>for the implementation of the Primary Health Care Quality Improvement Operation</w:t>
      </w:r>
    </w:p>
    <w:p w14:paraId="289C2026" w14:textId="77777777" w:rsidR="00867510" w:rsidRPr="00867510" w:rsidRDefault="00867510" w:rsidP="00867510">
      <w:pPr>
        <w:spacing w:line="276" w:lineRule="auto"/>
        <w:rPr>
          <w:rFonts w:ascii="Times New Roman" w:hAnsi="Times New Roman" w:cs="Times New Roman"/>
          <w:b/>
          <w:sz w:val="24"/>
          <w:szCs w:val="24"/>
          <w:lang w:val="en-US"/>
        </w:rPr>
      </w:pPr>
    </w:p>
    <w:p w14:paraId="088A2727" w14:textId="77777777" w:rsidR="00867510" w:rsidRPr="00867510" w:rsidRDefault="00867510" w:rsidP="00867510">
      <w:pPr>
        <w:keepNext/>
        <w:keepLines/>
        <w:spacing w:before="40" w:line="276" w:lineRule="auto"/>
        <w:jc w:val="both"/>
        <w:outlineLvl w:val="1"/>
        <w:rPr>
          <w:rFonts w:ascii="Times New Roman" w:hAnsi="Times New Roman" w:cs="Times New Roman"/>
          <w:b/>
          <w:sz w:val="24"/>
          <w:szCs w:val="24"/>
          <w:lang w:val="en-US"/>
        </w:rPr>
      </w:pPr>
      <w:r w:rsidRPr="00867510">
        <w:rPr>
          <w:rFonts w:ascii="Times New Roman" w:hAnsi="Times New Roman" w:cs="Times New Roman"/>
          <w:b/>
          <w:sz w:val="24"/>
          <w:szCs w:val="24"/>
          <w:lang w:val="en-US"/>
        </w:rPr>
        <w:t>I. GENERAL INFORMATION</w:t>
      </w:r>
    </w:p>
    <w:p w14:paraId="370CB260" w14:textId="77777777" w:rsidR="00867510" w:rsidRPr="00867510" w:rsidRDefault="00867510" w:rsidP="00867510">
      <w:pPr>
        <w:spacing w:before="100" w:beforeAutospacing="1" w:after="100" w:afterAutospacing="1"/>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The Ministry of Health of the Kyrgyz Republic (MoH KR) is implementing the “Primary Health Care Quality Improvement Operation” (PHCQIO) funded by the World Bank.</w:t>
      </w:r>
    </w:p>
    <w:p w14:paraId="7D23D0FB" w14:textId="77777777" w:rsidR="00867510" w:rsidRPr="00867510" w:rsidRDefault="00867510" w:rsidP="00867510">
      <w:pPr>
        <w:pStyle w:val="a6"/>
        <w:jc w:val="both"/>
        <w:rPr>
          <w:lang w:val="en-US"/>
        </w:rPr>
      </w:pPr>
      <w:r w:rsidRPr="00867510">
        <w:rPr>
          <w:rStyle w:val="a9"/>
          <w:lang w:val="en-US"/>
        </w:rPr>
        <w:t>The Primary Health Care Quality Improvement Operation (hereinafter – PHCQIO) consists of two components.</w:t>
      </w:r>
      <w:r w:rsidRPr="00867510">
        <w:rPr>
          <w:lang w:val="en-US"/>
        </w:rPr>
        <w:t xml:space="preserve"> </w:t>
      </w:r>
      <w:r w:rsidRPr="00867510">
        <w:rPr>
          <w:rStyle w:val="a9"/>
          <w:lang w:val="en-US"/>
        </w:rPr>
        <w:t>Component 1: The PforR Component (Program)</w:t>
      </w:r>
      <w:r w:rsidRPr="00867510">
        <w:rPr>
          <w:lang w:val="en-US"/>
        </w:rPr>
        <w:t xml:space="preserve"> includes all result areas/activities and disbursement linked indicators DLIs that currently constitute the PHCQIO Program under the original grant/credit and the recipient-executed trust fund RETF. </w:t>
      </w:r>
      <w:r w:rsidRPr="00867510">
        <w:rPr>
          <w:rStyle w:val="a9"/>
          <w:lang w:val="en-US"/>
        </w:rPr>
        <w:t>Component 2: The Investment Component (Project)</w:t>
      </w:r>
      <w:r w:rsidRPr="00867510">
        <w:rPr>
          <w:b/>
          <w:bCs/>
          <w:lang w:val="en-US"/>
        </w:rPr>
        <w:t xml:space="preserve"> </w:t>
      </w:r>
      <w:r w:rsidRPr="00867510">
        <w:rPr>
          <w:lang w:val="en-US"/>
        </w:rPr>
        <w:t xml:space="preserve">is financed through Additional Financing and consists of two subcomponents. </w:t>
      </w:r>
      <w:r w:rsidRPr="00867510">
        <w:rPr>
          <w:rStyle w:val="a9"/>
          <w:lang w:val="en-US"/>
        </w:rPr>
        <w:t>Subcomponent 2.1 (goods, non-consulting services, operating costs)</w:t>
      </w:r>
      <w:r w:rsidRPr="00867510">
        <w:rPr>
          <w:lang w:val="en-US"/>
        </w:rPr>
        <w:t xml:space="preserve"> will be financed from the new financing under the PHCQIO Multi-Donor Trust Fund (MDTF). </w:t>
      </w:r>
      <w:r w:rsidRPr="00867510">
        <w:rPr>
          <w:rStyle w:val="a9"/>
          <w:lang w:val="en-US"/>
        </w:rPr>
        <w:t>Subcomponent 2.2 (TA – technical assistance)</w:t>
      </w:r>
      <w:r w:rsidRPr="00867510">
        <w:rPr>
          <w:lang w:val="en-US"/>
        </w:rPr>
        <w:t xml:space="preserve"> will be financed from the Single-Donor Trust Fund (SDTF).</w:t>
      </w:r>
    </w:p>
    <w:p w14:paraId="621531A8" w14:textId="77777777" w:rsidR="00867510" w:rsidRPr="00867510" w:rsidRDefault="00867510" w:rsidP="00867510">
      <w:pPr>
        <w:spacing w:before="100" w:beforeAutospacing="1" w:after="100" w:afterAutospacing="1"/>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The Program supports three main results areas aimed at strengthening several foundational elements of the healthcare quality improvement system.</w:t>
      </w:r>
    </w:p>
    <w:p w14:paraId="621ED943" w14:textId="77777777" w:rsidR="00867510" w:rsidRPr="00867510" w:rsidRDefault="00867510" w:rsidP="00867510">
      <w:pPr>
        <w:spacing w:before="100" w:beforeAutospacing="1" w:after="100" w:afterAutospacing="1"/>
        <w:rPr>
          <w:rFonts w:ascii="Times New Roman" w:hAnsi="Times New Roman" w:cs="Times New Roman"/>
          <w:sz w:val="24"/>
          <w:szCs w:val="24"/>
          <w:lang w:val="en-US"/>
        </w:rPr>
      </w:pPr>
      <w:r w:rsidRPr="00867510">
        <w:rPr>
          <w:rStyle w:val="a9"/>
          <w:rFonts w:ascii="Times New Roman" w:hAnsi="Times New Roman" w:cs="Times New Roman"/>
          <w:sz w:val="24"/>
          <w:szCs w:val="24"/>
          <w:lang w:val="en-US"/>
        </w:rPr>
        <w:t>Result Area 1:</w:t>
      </w:r>
      <w:r w:rsidRPr="00867510">
        <w:rPr>
          <w:rFonts w:ascii="Times New Roman" w:hAnsi="Times New Roman" w:cs="Times New Roman"/>
          <w:sz w:val="24"/>
          <w:szCs w:val="24"/>
          <w:lang w:val="en-US"/>
        </w:rPr>
        <w:t xml:space="preserve"> Integration of sustainable quality improvement mechanisms into the service delivery process.</w:t>
      </w:r>
      <w:r w:rsidRPr="00867510">
        <w:rPr>
          <w:rFonts w:ascii="Times New Roman" w:hAnsi="Times New Roman" w:cs="Times New Roman"/>
          <w:sz w:val="24"/>
          <w:szCs w:val="24"/>
          <w:lang w:val="en-US"/>
        </w:rPr>
        <w:br/>
      </w:r>
      <w:r w:rsidRPr="00867510">
        <w:rPr>
          <w:rStyle w:val="a9"/>
          <w:rFonts w:ascii="Times New Roman" w:hAnsi="Times New Roman" w:cs="Times New Roman"/>
          <w:sz w:val="24"/>
          <w:szCs w:val="24"/>
          <w:lang w:val="en-US"/>
        </w:rPr>
        <w:t>Result Area 2:</w:t>
      </w:r>
      <w:r w:rsidRPr="00867510">
        <w:rPr>
          <w:rFonts w:ascii="Times New Roman" w:hAnsi="Times New Roman" w:cs="Times New Roman"/>
          <w:sz w:val="24"/>
          <w:szCs w:val="24"/>
          <w:lang w:val="en-US"/>
        </w:rPr>
        <w:t xml:space="preserve"> Strengthening strategic purchasing to ensure the quality of health care.</w:t>
      </w:r>
      <w:r w:rsidRPr="00867510">
        <w:rPr>
          <w:rFonts w:ascii="Times New Roman" w:hAnsi="Times New Roman" w:cs="Times New Roman"/>
          <w:sz w:val="24"/>
          <w:szCs w:val="24"/>
          <w:lang w:val="en-US"/>
        </w:rPr>
        <w:br/>
      </w:r>
      <w:r w:rsidRPr="00867510">
        <w:rPr>
          <w:rStyle w:val="a9"/>
          <w:rFonts w:ascii="Times New Roman" w:hAnsi="Times New Roman" w:cs="Times New Roman"/>
          <w:sz w:val="24"/>
          <w:szCs w:val="24"/>
          <w:lang w:val="en-US"/>
        </w:rPr>
        <w:t>Result Area 3:</w:t>
      </w:r>
      <w:r w:rsidRPr="00867510">
        <w:rPr>
          <w:rFonts w:ascii="Times New Roman" w:hAnsi="Times New Roman" w:cs="Times New Roman"/>
          <w:sz w:val="24"/>
          <w:szCs w:val="24"/>
          <w:lang w:val="en-US"/>
        </w:rPr>
        <w:t xml:space="preserve"> Strengthening governance and management in the health sector to improve quality.</w:t>
      </w:r>
    </w:p>
    <w:p w14:paraId="5481DA5F" w14:textId="77777777" w:rsidR="00867510" w:rsidRPr="00867510" w:rsidRDefault="00867510" w:rsidP="00867510">
      <w:pPr>
        <w:spacing w:before="100" w:beforeAutospacing="1" w:after="100" w:afterAutospacing="1"/>
        <w:rPr>
          <w:rFonts w:ascii="Times New Roman" w:hAnsi="Times New Roman" w:cs="Times New Roman"/>
          <w:sz w:val="24"/>
          <w:szCs w:val="24"/>
          <w:lang w:val="en-US"/>
        </w:rPr>
      </w:pPr>
      <w:r w:rsidRPr="00867510">
        <w:rPr>
          <w:rFonts w:ascii="Times New Roman" w:hAnsi="Times New Roman" w:cs="Times New Roman"/>
          <w:sz w:val="24"/>
          <w:szCs w:val="24"/>
          <w:lang w:val="en-US"/>
        </w:rPr>
        <w:t>The Project facilitates the provision of TA and goods critical to improving Program results.</w:t>
      </w:r>
    </w:p>
    <w:p w14:paraId="14A35218" w14:textId="77777777" w:rsidR="00867510" w:rsidRPr="00867510" w:rsidRDefault="00867510" w:rsidP="00867510">
      <w:pPr>
        <w:spacing w:before="100" w:beforeAutospacing="1" w:after="100" w:afterAutospacing="1"/>
        <w:jc w:val="both"/>
        <w:rPr>
          <w:rFonts w:ascii="Times New Roman" w:hAnsi="Times New Roman" w:cs="Times New Roman"/>
          <w:sz w:val="24"/>
          <w:szCs w:val="24"/>
          <w:lang w:val="en-US" w:eastAsia="ru-RU"/>
        </w:rPr>
      </w:pPr>
      <w:r w:rsidRPr="00867510">
        <w:rPr>
          <w:rFonts w:ascii="Times New Roman" w:hAnsi="Times New Roman" w:cs="Times New Roman"/>
          <w:b/>
          <w:bCs/>
          <w:sz w:val="24"/>
          <w:szCs w:val="24"/>
          <w:lang w:val="en-US" w:eastAsia="ru-RU"/>
        </w:rPr>
        <w:t xml:space="preserve">Subcomponent 2.1: </w:t>
      </w:r>
      <w:r w:rsidRPr="00867510">
        <w:rPr>
          <w:rFonts w:ascii="Times New Roman" w:hAnsi="Times New Roman" w:cs="Times New Roman"/>
          <w:sz w:val="24"/>
          <w:szCs w:val="24"/>
          <w:lang w:val="en-US" w:eastAsia="ru-RU"/>
        </w:rPr>
        <w:t>provides primary health care (PHC) organizations with basic diagnostic and clinical equipment, supplies, and operational expenses to improve the quality of care across a broad range of medical services, including maternal and child health (MCH) and non-communicable diseases (NCDs). Additional investments will also be made to strengthen capacity in medical waste management and ensure overall IT readiness to scale up digital health initiatives. This subcomponent will help bridge this gap, complementing the initial results-based approach of the Program.</w:t>
      </w:r>
    </w:p>
    <w:p w14:paraId="5891258E" w14:textId="77777777" w:rsidR="00867510" w:rsidRPr="00867510" w:rsidRDefault="00867510" w:rsidP="00867510">
      <w:pPr>
        <w:spacing w:before="100" w:beforeAutospacing="1" w:after="100" w:afterAutospacing="1"/>
        <w:jc w:val="both"/>
        <w:rPr>
          <w:rFonts w:ascii="Times New Roman" w:hAnsi="Times New Roman" w:cs="Times New Roman"/>
          <w:sz w:val="24"/>
          <w:szCs w:val="24"/>
          <w:lang w:val="en-US" w:eastAsia="ru-RU"/>
        </w:rPr>
      </w:pPr>
      <w:r w:rsidRPr="00867510">
        <w:rPr>
          <w:rFonts w:ascii="Times New Roman" w:hAnsi="Times New Roman" w:cs="Times New Roman"/>
          <w:b/>
          <w:bCs/>
          <w:sz w:val="24"/>
          <w:szCs w:val="24"/>
          <w:lang w:val="en-US" w:eastAsia="ru-RU"/>
        </w:rPr>
        <w:t xml:space="preserve">Subcomponent 2.2: </w:t>
      </w:r>
      <w:r w:rsidRPr="00867510">
        <w:rPr>
          <w:rFonts w:ascii="Times New Roman" w:hAnsi="Times New Roman" w:cs="Times New Roman"/>
          <w:sz w:val="24"/>
          <w:szCs w:val="24"/>
          <w:lang w:val="en-US" w:eastAsia="ru-RU"/>
        </w:rPr>
        <w:t xml:space="preserve">provides TA (consulting services and training) that are critical to improving the quality of PHC, including optimization and implementation of IT systems and software, continuous development and updating of training and assessment materials for </w:t>
      </w:r>
      <w:r w:rsidRPr="00867510">
        <w:rPr>
          <w:rFonts w:ascii="Times New Roman" w:hAnsi="Times New Roman" w:cs="Times New Roman"/>
          <w:lang w:val="en-US"/>
        </w:rPr>
        <w:t>Continuous Professional Development (CPD)</w:t>
      </w:r>
      <w:r w:rsidRPr="00867510">
        <w:rPr>
          <w:rFonts w:ascii="Times New Roman" w:hAnsi="Times New Roman" w:cs="Times New Roman"/>
          <w:sz w:val="24"/>
          <w:szCs w:val="24"/>
          <w:lang w:val="en-US" w:eastAsia="ru-RU"/>
        </w:rPr>
        <w:t xml:space="preserve">, development of guidelines for PHC facilities on relevant aspects of health financing based on the latest reforms, preparation of technical specifications for tenders, </w:t>
      </w:r>
      <w:r w:rsidRPr="00867510">
        <w:rPr>
          <w:rFonts w:ascii="Times New Roman" w:hAnsi="Times New Roman" w:cs="Times New Roman"/>
          <w:sz w:val="24"/>
          <w:szCs w:val="24"/>
          <w:lang w:val="en-US" w:eastAsia="ru-RU"/>
        </w:rPr>
        <w:lastRenderedPageBreak/>
        <w:t>development of environmental and social management standards, technical coordination, training, and auditing.</w:t>
      </w:r>
    </w:p>
    <w:p w14:paraId="535A9353" w14:textId="77777777" w:rsidR="00867510" w:rsidRPr="00867510" w:rsidRDefault="00867510" w:rsidP="00867510">
      <w:pPr>
        <w:spacing w:before="100" w:beforeAutospacing="1" w:after="100" w:afterAutospacing="1"/>
        <w:rPr>
          <w:rFonts w:ascii="Times New Roman" w:hAnsi="Times New Roman" w:cs="Times New Roman"/>
          <w:sz w:val="24"/>
          <w:szCs w:val="24"/>
          <w:lang w:val="en-US" w:eastAsia="ru-RU"/>
        </w:rPr>
      </w:pPr>
      <w:r w:rsidRPr="00867510">
        <w:rPr>
          <w:rFonts w:ascii="Times New Roman" w:hAnsi="Times New Roman" w:cs="Times New Roman"/>
          <w:b/>
          <w:bCs/>
          <w:sz w:val="24"/>
          <w:szCs w:val="24"/>
          <w:lang w:val="en-US" w:eastAsia="ru-RU"/>
        </w:rPr>
        <w:t>II. OBJECTIVES OF THE ASSIGNMENT</w:t>
      </w:r>
      <w:r w:rsidRPr="00867510">
        <w:rPr>
          <w:rFonts w:ascii="Times New Roman" w:hAnsi="Times New Roman" w:cs="Times New Roman"/>
          <w:sz w:val="24"/>
          <w:szCs w:val="24"/>
          <w:lang w:val="en-US" w:eastAsia="ru-RU"/>
        </w:rPr>
        <w:br/>
        <w:t>The objective of this assignment is to ensure effective and systematic collection, analysis, and interpretation of data to assess the implementation progress and results of the Operation. The M&amp;E Specialist contributes to informed managerial decision-making aimed at improving the quality and accessibility of healthcare services, enhancing the efficient use of resources, and achieving the Operation’s objectives.</w:t>
      </w:r>
    </w:p>
    <w:p w14:paraId="54D2AFB7" w14:textId="77777777" w:rsidR="00867510" w:rsidRPr="00867510" w:rsidRDefault="00867510" w:rsidP="00867510">
      <w:pPr>
        <w:spacing w:before="100" w:beforeAutospacing="1" w:after="100" w:afterAutospacing="1"/>
        <w:rPr>
          <w:rFonts w:ascii="Times New Roman" w:hAnsi="Times New Roman" w:cs="Times New Roman"/>
          <w:sz w:val="24"/>
          <w:szCs w:val="24"/>
          <w:lang w:val="en-US" w:eastAsia="ru-RU"/>
        </w:rPr>
      </w:pPr>
      <w:r w:rsidRPr="00867510">
        <w:rPr>
          <w:rFonts w:ascii="Times New Roman" w:hAnsi="Times New Roman" w:cs="Times New Roman"/>
          <w:b/>
          <w:bCs/>
          <w:sz w:val="24"/>
          <w:szCs w:val="24"/>
          <w:lang w:val="en-US" w:eastAsia="ru-RU"/>
        </w:rPr>
        <w:t>III. SCOPE OF SERVICES</w:t>
      </w:r>
      <w:r w:rsidRPr="00867510">
        <w:rPr>
          <w:rFonts w:ascii="Times New Roman" w:hAnsi="Times New Roman" w:cs="Times New Roman"/>
          <w:sz w:val="24"/>
          <w:szCs w:val="24"/>
          <w:lang w:val="en-US" w:eastAsia="ru-RU"/>
        </w:rPr>
        <w:br/>
        <w:t>The M&amp;E Specialist will perform the following functions:</w:t>
      </w:r>
    </w:p>
    <w:p w14:paraId="31ABF425" w14:textId="77777777" w:rsidR="00867510" w:rsidRPr="00867510" w:rsidRDefault="00867510" w:rsidP="00867510">
      <w:pPr>
        <w:numPr>
          <w:ilvl w:val="0"/>
          <w:numId w:val="21"/>
        </w:numPr>
        <w:spacing w:before="100" w:beforeAutospacing="1" w:after="100" w:afterAutospacing="1" w:line="240" w:lineRule="auto"/>
        <w:rPr>
          <w:rFonts w:ascii="Times New Roman" w:hAnsi="Times New Roman" w:cs="Times New Roman"/>
          <w:sz w:val="24"/>
          <w:szCs w:val="24"/>
          <w:lang w:val="en-US" w:eastAsia="ru-RU"/>
        </w:rPr>
      </w:pPr>
      <w:r w:rsidRPr="00867510">
        <w:rPr>
          <w:rFonts w:ascii="Times New Roman" w:hAnsi="Times New Roman" w:cs="Times New Roman"/>
          <w:b/>
          <w:bCs/>
          <w:sz w:val="24"/>
          <w:szCs w:val="24"/>
          <w:lang w:val="en-US" w:eastAsia="ru-RU"/>
        </w:rPr>
        <w:t>Planning and development of the M&amp;E system:</w:t>
      </w:r>
    </w:p>
    <w:p w14:paraId="2CC2022A" w14:textId="77777777" w:rsidR="00867510" w:rsidRPr="00867510" w:rsidRDefault="00867510" w:rsidP="00867510">
      <w:pPr>
        <w:numPr>
          <w:ilvl w:val="0"/>
          <w:numId w:val="22"/>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Review the M&amp;E framework of the Operation, including performance indicators, intermediate and final results, and provide recommendations on necessary updates and improvements, in accordance with the Operational Manual and international standards.</w:t>
      </w:r>
    </w:p>
    <w:p w14:paraId="29D9CD1E" w14:textId="77777777" w:rsidR="00867510" w:rsidRPr="00867510" w:rsidRDefault="00867510" w:rsidP="00867510">
      <w:pPr>
        <w:numPr>
          <w:ilvl w:val="0"/>
          <w:numId w:val="22"/>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Prepare annual and semi-annual M&amp;E activity plans and agree them with the Project Implementation Unit (PIU) Manager.</w:t>
      </w:r>
    </w:p>
    <w:p w14:paraId="239EB2CB" w14:textId="77777777" w:rsidR="00867510" w:rsidRPr="00867510" w:rsidRDefault="00867510" w:rsidP="00867510">
      <w:pPr>
        <w:numPr>
          <w:ilvl w:val="0"/>
          <w:numId w:val="22"/>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Ensure integration of the M&amp;E system into project management and reporting processes (PforR, World Bank indicators).</w:t>
      </w:r>
    </w:p>
    <w:p w14:paraId="1A3DE6BF" w14:textId="77777777" w:rsidR="00867510" w:rsidRPr="00867510" w:rsidRDefault="00867510" w:rsidP="00867510">
      <w:pPr>
        <w:numPr>
          <w:ilvl w:val="0"/>
          <w:numId w:val="23"/>
        </w:numPr>
        <w:spacing w:before="100" w:beforeAutospacing="1" w:after="100" w:afterAutospacing="1" w:line="240" w:lineRule="auto"/>
        <w:rPr>
          <w:rFonts w:ascii="Times New Roman" w:hAnsi="Times New Roman" w:cs="Times New Roman"/>
          <w:sz w:val="24"/>
          <w:szCs w:val="24"/>
          <w:lang w:eastAsia="ru-RU"/>
        </w:rPr>
      </w:pPr>
      <w:r w:rsidRPr="00867510">
        <w:rPr>
          <w:rFonts w:ascii="Times New Roman" w:hAnsi="Times New Roman" w:cs="Times New Roman"/>
          <w:b/>
          <w:bCs/>
          <w:sz w:val="24"/>
          <w:szCs w:val="24"/>
          <w:lang w:eastAsia="ru-RU"/>
        </w:rPr>
        <w:t xml:space="preserve">Data </w:t>
      </w:r>
      <w:proofErr w:type="spellStart"/>
      <w:r w:rsidRPr="00867510">
        <w:rPr>
          <w:rFonts w:ascii="Times New Roman" w:hAnsi="Times New Roman" w:cs="Times New Roman"/>
          <w:b/>
          <w:bCs/>
          <w:sz w:val="24"/>
          <w:szCs w:val="24"/>
          <w:lang w:eastAsia="ru-RU"/>
        </w:rPr>
        <w:t>collection</w:t>
      </w:r>
      <w:proofErr w:type="spellEnd"/>
      <w:r w:rsidRPr="00867510">
        <w:rPr>
          <w:rFonts w:ascii="Times New Roman" w:hAnsi="Times New Roman" w:cs="Times New Roman"/>
          <w:b/>
          <w:bCs/>
          <w:sz w:val="24"/>
          <w:szCs w:val="24"/>
          <w:lang w:eastAsia="ru-RU"/>
        </w:rPr>
        <w:t xml:space="preserve"> </w:t>
      </w:r>
      <w:proofErr w:type="spellStart"/>
      <w:r w:rsidRPr="00867510">
        <w:rPr>
          <w:rFonts w:ascii="Times New Roman" w:hAnsi="Times New Roman" w:cs="Times New Roman"/>
          <w:b/>
          <w:bCs/>
          <w:sz w:val="24"/>
          <w:szCs w:val="24"/>
          <w:lang w:eastAsia="ru-RU"/>
        </w:rPr>
        <w:t>and</w:t>
      </w:r>
      <w:proofErr w:type="spellEnd"/>
      <w:r w:rsidRPr="00867510">
        <w:rPr>
          <w:rFonts w:ascii="Times New Roman" w:hAnsi="Times New Roman" w:cs="Times New Roman"/>
          <w:b/>
          <w:bCs/>
          <w:sz w:val="24"/>
          <w:szCs w:val="24"/>
          <w:lang w:eastAsia="ru-RU"/>
        </w:rPr>
        <w:t xml:space="preserve"> </w:t>
      </w:r>
      <w:proofErr w:type="spellStart"/>
      <w:r w:rsidRPr="00867510">
        <w:rPr>
          <w:rFonts w:ascii="Times New Roman" w:hAnsi="Times New Roman" w:cs="Times New Roman"/>
          <w:b/>
          <w:bCs/>
          <w:sz w:val="24"/>
          <w:szCs w:val="24"/>
          <w:lang w:eastAsia="ru-RU"/>
        </w:rPr>
        <w:t>management</w:t>
      </w:r>
      <w:proofErr w:type="spellEnd"/>
      <w:r w:rsidRPr="00867510">
        <w:rPr>
          <w:rFonts w:ascii="Times New Roman" w:hAnsi="Times New Roman" w:cs="Times New Roman"/>
          <w:b/>
          <w:bCs/>
          <w:sz w:val="24"/>
          <w:szCs w:val="24"/>
          <w:lang w:eastAsia="ru-RU"/>
        </w:rPr>
        <w:t>:</w:t>
      </w:r>
    </w:p>
    <w:p w14:paraId="53C9EE6C" w14:textId="77777777" w:rsidR="00867510" w:rsidRPr="00867510" w:rsidRDefault="00867510" w:rsidP="00867510">
      <w:pPr>
        <w:numPr>
          <w:ilvl w:val="0"/>
          <w:numId w:val="24"/>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Organize and oversee regular data collection on the Operation’s indicators from subordinate institutions and partner organizations.</w:t>
      </w:r>
    </w:p>
    <w:p w14:paraId="04CC988E" w14:textId="77777777" w:rsidR="00867510" w:rsidRPr="00867510" w:rsidRDefault="00867510" w:rsidP="00867510">
      <w:pPr>
        <w:numPr>
          <w:ilvl w:val="0"/>
          <w:numId w:val="24"/>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Ensure data quality, including completeness, reliability, and timeliness, and conduct spot verifications and triangulation of data, as necessary.</w:t>
      </w:r>
    </w:p>
    <w:p w14:paraId="3805219B" w14:textId="77777777" w:rsidR="00867510" w:rsidRPr="00867510" w:rsidRDefault="00867510" w:rsidP="00867510">
      <w:pPr>
        <w:numPr>
          <w:ilvl w:val="0"/>
          <w:numId w:val="24"/>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Maintain and update electronic databases (tracking tools, dashboards), ensuring their compatibility with the reporting systems of the MoH KR and donors.</w:t>
      </w:r>
    </w:p>
    <w:p w14:paraId="37E6FC9E" w14:textId="77777777" w:rsidR="00867510" w:rsidRPr="00867510" w:rsidRDefault="00867510" w:rsidP="00867510">
      <w:pPr>
        <w:numPr>
          <w:ilvl w:val="0"/>
          <w:numId w:val="25"/>
        </w:numPr>
        <w:spacing w:before="100" w:beforeAutospacing="1" w:after="100" w:afterAutospacing="1" w:line="240" w:lineRule="auto"/>
        <w:rPr>
          <w:rFonts w:ascii="Times New Roman" w:hAnsi="Times New Roman" w:cs="Times New Roman"/>
          <w:sz w:val="24"/>
          <w:szCs w:val="24"/>
          <w:lang w:val="en-US" w:eastAsia="ru-RU"/>
        </w:rPr>
      </w:pPr>
      <w:r w:rsidRPr="00867510">
        <w:rPr>
          <w:rFonts w:ascii="Times New Roman" w:hAnsi="Times New Roman" w:cs="Times New Roman"/>
          <w:b/>
          <w:bCs/>
          <w:sz w:val="24"/>
          <w:szCs w:val="24"/>
          <w:lang w:val="en-US" w:eastAsia="ru-RU"/>
        </w:rPr>
        <w:t>Analysis and evaluation of results:</w:t>
      </w:r>
    </w:p>
    <w:p w14:paraId="337613EA" w14:textId="77777777" w:rsidR="00867510" w:rsidRPr="00867510" w:rsidRDefault="00867510" w:rsidP="00867510">
      <w:pPr>
        <w:numPr>
          <w:ilvl w:val="0"/>
          <w:numId w:val="26"/>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Conduct quantitative and qualitative data analysis, preparing analytical conclusions and recommendations for the PIU management.</w:t>
      </w:r>
    </w:p>
    <w:p w14:paraId="53E6BBAB" w14:textId="77777777" w:rsidR="00867510" w:rsidRPr="00867510" w:rsidRDefault="00867510" w:rsidP="00867510">
      <w:pPr>
        <w:numPr>
          <w:ilvl w:val="0"/>
          <w:numId w:val="26"/>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Prepare quarterly, semi-annual, and annual project implementation reports in the area of M&amp;E.</w:t>
      </w:r>
    </w:p>
    <w:p w14:paraId="55BA69C9" w14:textId="77777777" w:rsidR="00867510" w:rsidRPr="00867510" w:rsidRDefault="00867510" w:rsidP="00867510">
      <w:pPr>
        <w:numPr>
          <w:ilvl w:val="0"/>
          <w:numId w:val="26"/>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Participate in thematic studies, surveys, impact assessments, and Independent Verification Agent (IVA) activities.</w:t>
      </w:r>
    </w:p>
    <w:p w14:paraId="6B79159D" w14:textId="77777777" w:rsidR="00867510" w:rsidRPr="00867510" w:rsidRDefault="00867510" w:rsidP="00867510">
      <w:pPr>
        <w:numPr>
          <w:ilvl w:val="0"/>
          <w:numId w:val="27"/>
        </w:numPr>
        <w:spacing w:before="100" w:beforeAutospacing="1" w:after="100" w:afterAutospacing="1" w:line="240" w:lineRule="auto"/>
        <w:rPr>
          <w:rFonts w:ascii="Times New Roman" w:hAnsi="Times New Roman" w:cs="Times New Roman"/>
          <w:sz w:val="24"/>
          <w:szCs w:val="24"/>
          <w:lang w:eastAsia="ru-RU"/>
        </w:rPr>
      </w:pPr>
      <w:r w:rsidRPr="00867510">
        <w:rPr>
          <w:rFonts w:ascii="Times New Roman" w:hAnsi="Times New Roman" w:cs="Times New Roman"/>
          <w:b/>
          <w:bCs/>
          <w:sz w:val="24"/>
          <w:szCs w:val="24"/>
          <w:lang w:eastAsia="ru-RU"/>
        </w:rPr>
        <w:t xml:space="preserve">Project </w:t>
      </w:r>
      <w:proofErr w:type="spellStart"/>
      <w:r w:rsidRPr="00867510">
        <w:rPr>
          <w:rFonts w:ascii="Times New Roman" w:hAnsi="Times New Roman" w:cs="Times New Roman"/>
          <w:b/>
          <w:bCs/>
          <w:sz w:val="24"/>
          <w:szCs w:val="24"/>
          <w:lang w:eastAsia="ru-RU"/>
        </w:rPr>
        <w:t>management</w:t>
      </w:r>
      <w:proofErr w:type="spellEnd"/>
      <w:r w:rsidRPr="00867510">
        <w:rPr>
          <w:rFonts w:ascii="Times New Roman" w:hAnsi="Times New Roman" w:cs="Times New Roman"/>
          <w:b/>
          <w:bCs/>
          <w:sz w:val="24"/>
          <w:szCs w:val="24"/>
          <w:lang w:eastAsia="ru-RU"/>
        </w:rPr>
        <w:t xml:space="preserve"> </w:t>
      </w:r>
      <w:proofErr w:type="spellStart"/>
      <w:r w:rsidRPr="00867510">
        <w:rPr>
          <w:rFonts w:ascii="Times New Roman" w:hAnsi="Times New Roman" w:cs="Times New Roman"/>
          <w:b/>
          <w:bCs/>
          <w:sz w:val="24"/>
          <w:szCs w:val="24"/>
          <w:lang w:eastAsia="ru-RU"/>
        </w:rPr>
        <w:t>support</w:t>
      </w:r>
      <w:proofErr w:type="spellEnd"/>
      <w:r w:rsidRPr="00867510">
        <w:rPr>
          <w:rFonts w:ascii="Times New Roman" w:hAnsi="Times New Roman" w:cs="Times New Roman"/>
          <w:b/>
          <w:bCs/>
          <w:sz w:val="24"/>
          <w:szCs w:val="24"/>
          <w:lang w:eastAsia="ru-RU"/>
        </w:rPr>
        <w:t>:</w:t>
      </w:r>
    </w:p>
    <w:p w14:paraId="1F3F20D2" w14:textId="77777777" w:rsidR="00867510" w:rsidRPr="00867510" w:rsidRDefault="00867510" w:rsidP="00867510">
      <w:pPr>
        <w:numPr>
          <w:ilvl w:val="0"/>
          <w:numId w:val="28"/>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Provide the PIU management with reliable information for decision-making.</w:t>
      </w:r>
    </w:p>
    <w:p w14:paraId="53DAEAA2" w14:textId="77777777" w:rsidR="00867510" w:rsidRPr="00867510" w:rsidRDefault="00867510" w:rsidP="00867510">
      <w:pPr>
        <w:numPr>
          <w:ilvl w:val="0"/>
          <w:numId w:val="28"/>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Prepare analytical notes and materials for meetings of the Technical Coordination Council, Health Policy Council, and donors.</w:t>
      </w:r>
    </w:p>
    <w:p w14:paraId="10683A99" w14:textId="77777777" w:rsidR="00867510" w:rsidRPr="00867510" w:rsidRDefault="00867510" w:rsidP="00867510">
      <w:pPr>
        <w:numPr>
          <w:ilvl w:val="0"/>
          <w:numId w:val="28"/>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Participate in the development of Terms of Reference (</w:t>
      </w:r>
      <w:proofErr w:type="spellStart"/>
      <w:r w:rsidRPr="00867510">
        <w:rPr>
          <w:rFonts w:ascii="Times New Roman" w:hAnsi="Times New Roman" w:cs="Times New Roman"/>
          <w:sz w:val="24"/>
          <w:szCs w:val="24"/>
          <w:lang w:val="en-US" w:eastAsia="ru-RU"/>
        </w:rPr>
        <w:t>ToR</w:t>
      </w:r>
      <w:proofErr w:type="spellEnd"/>
      <w:r w:rsidRPr="00867510">
        <w:rPr>
          <w:rFonts w:ascii="Times New Roman" w:hAnsi="Times New Roman" w:cs="Times New Roman"/>
          <w:sz w:val="24"/>
          <w:szCs w:val="24"/>
          <w:lang w:val="en-US" w:eastAsia="ru-RU"/>
        </w:rPr>
        <w:t>) for consultants and contractors, taking into account monitoring and reporting requirements.</w:t>
      </w:r>
    </w:p>
    <w:p w14:paraId="099CA8B9" w14:textId="77777777" w:rsidR="00867510" w:rsidRPr="00867510" w:rsidRDefault="00867510" w:rsidP="00867510">
      <w:pPr>
        <w:numPr>
          <w:ilvl w:val="0"/>
          <w:numId w:val="28"/>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Monitor compliance of contractors and consultants with obligations to provide data for the M&amp;E system.</w:t>
      </w:r>
    </w:p>
    <w:p w14:paraId="5A0169F7" w14:textId="77777777" w:rsidR="00867510" w:rsidRPr="00867510" w:rsidRDefault="00867510" w:rsidP="00867510">
      <w:pPr>
        <w:numPr>
          <w:ilvl w:val="0"/>
          <w:numId w:val="29"/>
        </w:numPr>
        <w:spacing w:before="100" w:beforeAutospacing="1" w:after="100" w:afterAutospacing="1" w:line="240" w:lineRule="auto"/>
        <w:rPr>
          <w:rFonts w:ascii="Times New Roman" w:hAnsi="Times New Roman" w:cs="Times New Roman"/>
          <w:sz w:val="24"/>
          <w:szCs w:val="24"/>
          <w:lang w:eastAsia="ru-RU"/>
        </w:rPr>
      </w:pPr>
      <w:proofErr w:type="spellStart"/>
      <w:r w:rsidRPr="00867510">
        <w:rPr>
          <w:rFonts w:ascii="Times New Roman" w:hAnsi="Times New Roman" w:cs="Times New Roman"/>
          <w:b/>
          <w:bCs/>
          <w:sz w:val="24"/>
          <w:szCs w:val="24"/>
          <w:lang w:eastAsia="ru-RU"/>
        </w:rPr>
        <w:lastRenderedPageBreak/>
        <w:t>Coordination</w:t>
      </w:r>
      <w:proofErr w:type="spellEnd"/>
      <w:r w:rsidRPr="00867510">
        <w:rPr>
          <w:rFonts w:ascii="Times New Roman" w:hAnsi="Times New Roman" w:cs="Times New Roman"/>
          <w:b/>
          <w:bCs/>
          <w:sz w:val="24"/>
          <w:szCs w:val="24"/>
          <w:lang w:eastAsia="ru-RU"/>
        </w:rPr>
        <w:t xml:space="preserve"> </w:t>
      </w:r>
      <w:proofErr w:type="spellStart"/>
      <w:r w:rsidRPr="00867510">
        <w:rPr>
          <w:rFonts w:ascii="Times New Roman" w:hAnsi="Times New Roman" w:cs="Times New Roman"/>
          <w:b/>
          <w:bCs/>
          <w:sz w:val="24"/>
          <w:szCs w:val="24"/>
          <w:lang w:eastAsia="ru-RU"/>
        </w:rPr>
        <w:t>and</w:t>
      </w:r>
      <w:proofErr w:type="spellEnd"/>
      <w:r w:rsidRPr="00867510">
        <w:rPr>
          <w:rFonts w:ascii="Times New Roman" w:hAnsi="Times New Roman" w:cs="Times New Roman"/>
          <w:b/>
          <w:bCs/>
          <w:sz w:val="24"/>
          <w:szCs w:val="24"/>
          <w:lang w:eastAsia="ru-RU"/>
        </w:rPr>
        <w:t xml:space="preserve"> </w:t>
      </w:r>
      <w:proofErr w:type="spellStart"/>
      <w:r w:rsidRPr="00867510">
        <w:rPr>
          <w:rFonts w:ascii="Times New Roman" w:hAnsi="Times New Roman" w:cs="Times New Roman"/>
          <w:b/>
          <w:bCs/>
          <w:sz w:val="24"/>
          <w:szCs w:val="24"/>
          <w:lang w:eastAsia="ru-RU"/>
        </w:rPr>
        <w:t>collaboration</w:t>
      </w:r>
      <w:proofErr w:type="spellEnd"/>
      <w:r w:rsidRPr="00867510">
        <w:rPr>
          <w:rFonts w:ascii="Times New Roman" w:hAnsi="Times New Roman" w:cs="Times New Roman"/>
          <w:b/>
          <w:bCs/>
          <w:sz w:val="24"/>
          <w:szCs w:val="24"/>
          <w:lang w:eastAsia="ru-RU"/>
        </w:rPr>
        <w:t>:</w:t>
      </w:r>
    </w:p>
    <w:p w14:paraId="034B21BE" w14:textId="77777777" w:rsidR="00867510" w:rsidRPr="00867510" w:rsidRDefault="00867510" w:rsidP="00867510">
      <w:pPr>
        <w:numPr>
          <w:ilvl w:val="0"/>
          <w:numId w:val="30"/>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Collaborate with the PIU Manager, procurement, financial, and technical specialists, and social and environmental specialists.</w:t>
      </w:r>
    </w:p>
    <w:p w14:paraId="745A36E9" w14:textId="77777777" w:rsidR="00867510" w:rsidRPr="00867510" w:rsidRDefault="00867510" w:rsidP="00867510">
      <w:pPr>
        <w:numPr>
          <w:ilvl w:val="0"/>
          <w:numId w:val="30"/>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Coordinate with healthcare facilities, government bodies, and partners to ensure data timeliness, reliability, and completeness.</w:t>
      </w:r>
    </w:p>
    <w:p w14:paraId="43F96E06" w14:textId="77777777" w:rsidR="00867510" w:rsidRPr="00867510" w:rsidRDefault="00867510" w:rsidP="00867510">
      <w:pPr>
        <w:numPr>
          <w:ilvl w:val="0"/>
          <w:numId w:val="30"/>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Conduct training activities (workshops, seminars) on data collection, reporting, and analysis for PIU staff and regional partners.</w:t>
      </w:r>
    </w:p>
    <w:p w14:paraId="52FEC3CE" w14:textId="77777777" w:rsidR="00867510" w:rsidRPr="00867510" w:rsidRDefault="00867510" w:rsidP="00867510">
      <w:pPr>
        <w:numPr>
          <w:ilvl w:val="0"/>
          <w:numId w:val="31"/>
        </w:numPr>
        <w:spacing w:before="100" w:beforeAutospacing="1" w:after="100" w:afterAutospacing="1" w:line="240" w:lineRule="auto"/>
        <w:rPr>
          <w:rFonts w:ascii="Times New Roman" w:hAnsi="Times New Roman" w:cs="Times New Roman"/>
          <w:sz w:val="24"/>
          <w:szCs w:val="24"/>
          <w:lang w:eastAsia="ru-RU"/>
        </w:rPr>
      </w:pPr>
      <w:r w:rsidRPr="00867510">
        <w:rPr>
          <w:rFonts w:ascii="Times New Roman" w:hAnsi="Times New Roman" w:cs="Times New Roman"/>
          <w:b/>
          <w:bCs/>
          <w:sz w:val="24"/>
          <w:szCs w:val="24"/>
          <w:lang w:eastAsia="ru-RU"/>
        </w:rPr>
        <w:t xml:space="preserve">Quality </w:t>
      </w:r>
      <w:proofErr w:type="spellStart"/>
      <w:r w:rsidRPr="00867510">
        <w:rPr>
          <w:rFonts w:ascii="Times New Roman" w:hAnsi="Times New Roman" w:cs="Times New Roman"/>
          <w:b/>
          <w:bCs/>
          <w:sz w:val="24"/>
          <w:szCs w:val="24"/>
          <w:lang w:eastAsia="ru-RU"/>
        </w:rPr>
        <w:t>control</w:t>
      </w:r>
      <w:proofErr w:type="spellEnd"/>
      <w:r w:rsidRPr="00867510">
        <w:rPr>
          <w:rFonts w:ascii="Times New Roman" w:hAnsi="Times New Roman" w:cs="Times New Roman"/>
          <w:b/>
          <w:bCs/>
          <w:sz w:val="24"/>
          <w:szCs w:val="24"/>
          <w:lang w:eastAsia="ru-RU"/>
        </w:rPr>
        <w:t xml:space="preserve"> </w:t>
      </w:r>
      <w:proofErr w:type="spellStart"/>
      <w:r w:rsidRPr="00867510">
        <w:rPr>
          <w:rFonts w:ascii="Times New Roman" w:hAnsi="Times New Roman" w:cs="Times New Roman"/>
          <w:b/>
          <w:bCs/>
          <w:sz w:val="24"/>
          <w:szCs w:val="24"/>
          <w:lang w:eastAsia="ru-RU"/>
        </w:rPr>
        <w:t>and</w:t>
      </w:r>
      <w:proofErr w:type="spellEnd"/>
      <w:r w:rsidRPr="00867510">
        <w:rPr>
          <w:rFonts w:ascii="Times New Roman" w:hAnsi="Times New Roman" w:cs="Times New Roman"/>
          <w:b/>
          <w:bCs/>
          <w:sz w:val="24"/>
          <w:szCs w:val="24"/>
          <w:lang w:eastAsia="ru-RU"/>
        </w:rPr>
        <w:t xml:space="preserve"> </w:t>
      </w:r>
      <w:proofErr w:type="spellStart"/>
      <w:r w:rsidRPr="00867510">
        <w:rPr>
          <w:rFonts w:ascii="Times New Roman" w:hAnsi="Times New Roman" w:cs="Times New Roman"/>
          <w:b/>
          <w:bCs/>
          <w:sz w:val="24"/>
          <w:szCs w:val="24"/>
          <w:lang w:eastAsia="ru-RU"/>
        </w:rPr>
        <w:t>transparency</w:t>
      </w:r>
      <w:proofErr w:type="spellEnd"/>
      <w:r w:rsidRPr="00867510">
        <w:rPr>
          <w:rFonts w:ascii="Times New Roman" w:hAnsi="Times New Roman" w:cs="Times New Roman"/>
          <w:b/>
          <w:bCs/>
          <w:sz w:val="24"/>
          <w:szCs w:val="24"/>
          <w:lang w:eastAsia="ru-RU"/>
        </w:rPr>
        <w:t>:</w:t>
      </w:r>
    </w:p>
    <w:p w14:paraId="12AA97B2" w14:textId="77777777" w:rsidR="00867510" w:rsidRPr="00867510" w:rsidRDefault="00867510" w:rsidP="00867510">
      <w:pPr>
        <w:numPr>
          <w:ilvl w:val="0"/>
          <w:numId w:val="32"/>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Ensure high quality of reporting and monitoring activities.</w:t>
      </w:r>
    </w:p>
    <w:p w14:paraId="358A43AF" w14:textId="77777777" w:rsidR="00867510" w:rsidRPr="00867510" w:rsidRDefault="00867510" w:rsidP="00867510">
      <w:pPr>
        <w:numPr>
          <w:ilvl w:val="0"/>
          <w:numId w:val="32"/>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Document all monitoring results and make them available to MoH management and donors.</w:t>
      </w:r>
    </w:p>
    <w:p w14:paraId="14535703" w14:textId="77777777" w:rsidR="00867510" w:rsidRPr="00867510" w:rsidRDefault="00867510" w:rsidP="00867510">
      <w:pPr>
        <w:numPr>
          <w:ilvl w:val="0"/>
          <w:numId w:val="32"/>
        </w:numPr>
        <w:spacing w:before="100" w:beforeAutospacing="1" w:after="100" w:afterAutospacing="1" w:line="240" w:lineRule="auto"/>
        <w:jc w:val="both"/>
        <w:rPr>
          <w:rFonts w:ascii="Times New Roman" w:hAnsi="Times New Roman" w:cs="Times New Roman"/>
          <w:sz w:val="24"/>
          <w:szCs w:val="24"/>
          <w:lang w:val="en-US" w:eastAsia="ru-RU"/>
        </w:rPr>
      </w:pPr>
      <w:r w:rsidRPr="00867510">
        <w:rPr>
          <w:rFonts w:ascii="Times New Roman" w:hAnsi="Times New Roman" w:cs="Times New Roman"/>
          <w:sz w:val="24"/>
          <w:szCs w:val="24"/>
          <w:lang w:val="en-US" w:eastAsia="ru-RU"/>
        </w:rPr>
        <w:t>Promote transparency and accountability of project implementation through timely dissemination of agreed data and results.</w:t>
      </w:r>
    </w:p>
    <w:p w14:paraId="5C3DB7AC" w14:textId="77777777" w:rsidR="00867510" w:rsidRPr="00867510" w:rsidRDefault="00867510" w:rsidP="00867510">
      <w:pPr>
        <w:spacing w:before="100" w:beforeAutospacing="1" w:after="100" w:afterAutospacing="1"/>
        <w:rPr>
          <w:rFonts w:ascii="Times New Roman" w:hAnsi="Times New Roman" w:cs="Times New Roman"/>
          <w:sz w:val="24"/>
          <w:szCs w:val="24"/>
          <w:lang w:val="en-US" w:eastAsia="ru-RU"/>
        </w:rPr>
      </w:pPr>
      <w:r w:rsidRPr="00867510">
        <w:rPr>
          <w:rFonts w:ascii="Times New Roman" w:hAnsi="Times New Roman" w:cs="Times New Roman"/>
          <w:b/>
          <w:bCs/>
          <w:sz w:val="24"/>
          <w:szCs w:val="24"/>
          <w:lang w:val="en-US" w:eastAsia="ru-RU"/>
        </w:rPr>
        <w:t>IV. ORGANIZATION OF WORK AND REPORTING</w:t>
      </w:r>
      <w:r w:rsidRPr="00867510">
        <w:rPr>
          <w:rFonts w:ascii="Times New Roman" w:hAnsi="Times New Roman" w:cs="Times New Roman"/>
          <w:sz w:val="24"/>
          <w:szCs w:val="24"/>
          <w:lang w:val="en-US" w:eastAsia="ru-RU"/>
        </w:rPr>
        <w:br/>
        <w:t>The M&amp;E Specialist is a staff member of the PIU and performs duties on a full-time basis as part of the Unit.</w:t>
      </w:r>
      <w:r w:rsidRPr="00867510">
        <w:rPr>
          <w:rFonts w:ascii="Times New Roman" w:hAnsi="Times New Roman" w:cs="Times New Roman"/>
          <w:sz w:val="24"/>
          <w:szCs w:val="24"/>
          <w:lang w:val="en-US" w:eastAsia="ru-RU"/>
        </w:rPr>
        <w:br/>
        <w:t>The M&amp;E Specialist reports to the PIU Manager and the Deputy Minister of Health overseeing the Project. The Specialist prepares monthly reports on the work performed and progress achieved against indicators, and ensures the provision of data for consolidated reporting to the MoH KR and the World Bank.</w:t>
      </w:r>
    </w:p>
    <w:p w14:paraId="46BC3A6B" w14:textId="77777777" w:rsidR="00867510" w:rsidRPr="00867510" w:rsidRDefault="00867510" w:rsidP="00867510">
      <w:pPr>
        <w:spacing w:after="100" w:afterAutospacing="1"/>
        <w:rPr>
          <w:rFonts w:ascii="Times New Roman" w:hAnsi="Times New Roman" w:cs="Times New Roman"/>
          <w:sz w:val="24"/>
          <w:szCs w:val="24"/>
          <w:lang w:val="en-US" w:eastAsia="ru-RU"/>
        </w:rPr>
      </w:pPr>
      <w:r w:rsidRPr="00867510">
        <w:rPr>
          <w:rFonts w:ascii="Times New Roman" w:hAnsi="Times New Roman" w:cs="Times New Roman"/>
          <w:b/>
          <w:bCs/>
          <w:sz w:val="24"/>
          <w:szCs w:val="24"/>
          <w:lang w:val="en-US" w:eastAsia="ru-RU"/>
        </w:rPr>
        <w:t>V. RESOURCES PROVIDED BY THE EMPLOYER</w:t>
      </w:r>
      <w:r w:rsidRPr="00867510">
        <w:rPr>
          <w:rFonts w:ascii="Times New Roman" w:hAnsi="Times New Roman" w:cs="Times New Roman"/>
          <w:sz w:val="24"/>
          <w:szCs w:val="24"/>
          <w:lang w:val="en-US" w:eastAsia="ru-RU"/>
        </w:rPr>
        <w:br/>
        <w:t>The Ministry of Health of the Kyrgyz Republic will provide the necessary reports and studies, as well as other supporting documents, to ensure effective implementation of the Project objectives. In addition, a workplace and the necessary computer equipment will be provided.</w:t>
      </w:r>
    </w:p>
    <w:p w14:paraId="3E19FB28" w14:textId="77777777" w:rsidR="00867510" w:rsidRPr="00867510" w:rsidRDefault="00867510" w:rsidP="00867510">
      <w:pPr>
        <w:pStyle w:val="a6"/>
        <w:rPr>
          <w:lang w:val="en-US"/>
        </w:rPr>
      </w:pPr>
      <w:r w:rsidRPr="00867510">
        <w:rPr>
          <w:rStyle w:val="a9"/>
          <w:lang w:val="en-US"/>
        </w:rPr>
        <w:t>VI. QUALIFICATION REQUIREMENTS AND EVALUATION CRITERIA</w:t>
      </w:r>
    </w:p>
    <w:p w14:paraId="05C4F0AC" w14:textId="77777777" w:rsidR="00867510" w:rsidRPr="00867510" w:rsidRDefault="00867510" w:rsidP="00867510">
      <w:pPr>
        <w:pStyle w:val="a6"/>
        <w:numPr>
          <w:ilvl w:val="0"/>
          <w:numId w:val="33"/>
        </w:numPr>
        <w:rPr>
          <w:lang w:val="en-US"/>
        </w:rPr>
      </w:pPr>
      <w:r w:rsidRPr="00867510">
        <w:rPr>
          <w:lang w:val="en-US"/>
        </w:rPr>
        <w:t xml:space="preserve">Higher education in health, economics, statistics, project management, public or social sciences, or related fields – </w:t>
      </w:r>
      <w:r w:rsidRPr="00867510">
        <w:rPr>
          <w:b/>
          <w:lang w:val="en-US"/>
        </w:rPr>
        <w:t>20 points;</w:t>
      </w:r>
    </w:p>
    <w:p w14:paraId="6F51A05E" w14:textId="77777777" w:rsidR="00867510" w:rsidRPr="00867510" w:rsidRDefault="00867510" w:rsidP="00867510">
      <w:pPr>
        <w:pStyle w:val="a6"/>
        <w:numPr>
          <w:ilvl w:val="0"/>
          <w:numId w:val="33"/>
        </w:numPr>
        <w:rPr>
          <w:lang w:val="en-US"/>
        </w:rPr>
      </w:pPr>
      <w:r w:rsidRPr="00867510">
        <w:rPr>
          <w:lang w:val="en-US"/>
        </w:rPr>
        <w:t xml:space="preserve">At least 3 years of professional experience in monitoring and evaluation, program or project management in healthcare, including the development of indicators, data collection systems, and reporting </w:t>
      </w:r>
      <w:r w:rsidRPr="00867510">
        <w:rPr>
          <w:b/>
          <w:lang w:val="en-US"/>
        </w:rPr>
        <w:t>– 30 points;</w:t>
      </w:r>
    </w:p>
    <w:p w14:paraId="29822498" w14:textId="77777777" w:rsidR="00867510" w:rsidRPr="00867510" w:rsidRDefault="00867510" w:rsidP="00867510">
      <w:pPr>
        <w:pStyle w:val="a6"/>
        <w:numPr>
          <w:ilvl w:val="0"/>
          <w:numId w:val="33"/>
        </w:numPr>
        <w:rPr>
          <w:lang w:val="en-US"/>
        </w:rPr>
      </w:pPr>
      <w:r w:rsidRPr="00867510">
        <w:rPr>
          <w:lang w:val="en-US"/>
        </w:rPr>
        <w:t xml:space="preserve">Practical experience in projects of the World Bank, Asian Development Bank, or other international organizations, including preparation of reports and interaction with donors – </w:t>
      </w:r>
      <w:r w:rsidRPr="00867510">
        <w:rPr>
          <w:b/>
          <w:lang w:val="en-US"/>
        </w:rPr>
        <w:t>15 points;</w:t>
      </w:r>
    </w:p>
    <w:p w14:paraId="00C2AB2C" w14:textId="77777777" w:rsidR="00867510" w:rsidRPr="00867510" w:rsidRDefault="00867510" w:rsidP="00867510">
      <w:pPr>
        <w:pStyle w:val="a6"/>
        <w:numPr>
          <w:ilvl w:val="0"/>
          <w:numId w:val="33"/>
        </w:numPr>
        <w:rPr>
          <w:lang w:val="en-US"/>
        </w:rPr>
      </w:pPr>
      <w:r w:rsidRPr="00867510">
        <w:rPr>
          <w:b/>
          <w:lang w:val="en-US"/>
        </w:rPr>
        <w:t>Analytical skills:</w:t>
      </w:r>
      <w:r w:rsidRPr="00867510">
        <w:rPr>
          <w:lang w:val="en-US"/>
        </w:rPr>
        <w:t xml:space="preserve"> experience in conducting quantitative and qualitative data analysis, preparing analytical reports, conducting surveys, and impact evaluations – </w:t>
      </w:r>
      <w:r w:rsidRPr="00867510">
        <w:rPr>
          <w:b/>
          <w:lang w:val="en-US"/>
        </w:rPr>
        <w:t>15 points;</w:t>
      </w:r>
    </w:p>
    <w:p w14:paraId="472D6331" w14:textId="77777777" w:rsidR="00867510" w:rsidRPr="00867510" w:rsidRDefault="00867510" w:rsidP="00867510">
      <w:pPr>
        <w:pStyle w:val="a6"/>
        <w:numPr>
          <w:ilvl w:val="0"/>
          <w:numId w:val="33"/>
        </w:numPr>
        <w:rPr>
          <w:lang w:val="en-US"/>
        </w:rPr>
      </w:pPr>
      <w:r w:rsidRPr="00867510">
        <w:rPr>
          <w:b/>
          <w:lang w:val="en-US"/>
        </w:rPr>
        <w:t>Computer and IT skills:</w:t>
      </w:r>
      <w:r w:rsidRPr="00867510">
        <w:rPr>
          <w:lang w:val="en-US"/>
        </w:rPr>
        <w:t xml:space="preserve"> proficiency in MS Office (Word, Excel, Access, PowerPoint), databases, and modern analytical tools (SPSS, STATA, Power BI or equivalents), as well as experience working with dashboard systems – </w:t>
      </w:r>
      <w:r w:rsidRPr="00867510">
        <w:rPr>
          <w:b/>
          <w:lang w:val="en-US"/>
        </w:rPr>
        <w:t>10 points;</w:t>
      </w:r>
    </w:p>
    <w:p w14:paraId="33432F16" w14:textId="77777777" w:rsidR="00867510" w:rsidRPr="00867510" w:rsidRDefault="00867510" w:rsidP="00867510">
      <w:pPr>
        <w:pStyle w:val="a6"/>
        <w:numPr>
          <w:ilvl w:val="0"/>
          <w:numId w:val="33"/>
        </w:numPr>
        <w:rPr>
          <w:lang w:val="en-US"/>
        </w:rPr>
      </w:pPr>
      <w:r w:rsidRPr="00867510">
        <w:rPr>
          <w:b/>
          <w:lang w:val="en-US"/>
        </w:rPr>
        <w:t>Languages:</w:t>
      </w:r>
      <w:r w:rsidRPr="00867510">
        <w:rPr>
          <w:lang w:val="en-US"/>
        </w:rPr>
        <w:t xml:space="preserve"> fluency in Russian and Kyrgyz, sufficient knowledge of English for working with project and donor documentation – </w:t>
      </w:r>
      <w:r w:rsidRPr="00867510">
        <w:rPr>
          <w:b/>
          <w:lang w:val="en-US"/>
        </w:rPr>
        <w:t>10 points.</w:t>
      </w:r>
    </w:p>
    <w:p w14:paraId="33722D98" w14:textId="77777777" w:rsidR="00867510" w:rsidRPr="00867510" w:rsidRDefault="00867510" w:rsidP="00867510">
      <w:pPr>
        <w:pStyle w:val="a6"/>
        <w:ind w:left="360"/>
        <w:rPr>
          <w:rStyle w:val="a9"/>
          <w:lang w:val="en-US"/>
        </w:rPr>
      </w:pPr>
      <w:r w:rsidRPr="00867510">
        <w:rPr>
          <w:rStyle w:val="a9"/>
          <w:lang w:val="en-US"/>
        </w:rPr>
        <w:t>VII. DURATION OF THE ASSIGNMENT</w:t>
      </w:r>
    </w:p>
    <w:p w14:paraId="3E4BE873" w14:textId="77777777" w:rsidR="00867510" w:rsidRPr="00867510" w:rsidRDefault="00867510" w:rsidP="00867510">
      <w:pPr>
        <w:spacing w:line="276" w:lineRule="auto"/>
        <w:jc w:val="both"/>
        <w:rPr>
          <w:rStyle w:val="HTML"/>
          <w:rFonts w:ascii="Times New Roman" w:eastAsia="Calibri" w:hAnsi="Times New Roman" w:cs="Times New Roman"/>
          <w:bCs/>
          <w:sz w:val="24"/>
          <w:szCs w:val="24"/>
          <w:lang w:val="en-US"/>
        </w:rPr>
      </w:pPr>
      <w:r w:rsidRPr="00867510">
        <w:rPr>
          <w:rStyle w:val="HTML"/>
          <w:rFonts w:ascii="Times New Roman" w:eastAsia="Calibri" w:hAnsi="Times New Roman" w:cs="Times New Roman"/>
          <w:bCs/>
          <w:sz w:val="24"/>
          <w:szCs w:val="24"/>
          <w:lang w:val="en-US"/>
        </w:rPr>
        <w:lastRenderedPageBreak/>
        <w:t>The contract is concluded for a period of 12 months (including a 3-month probationary period), with the possibility of extension based on performance evaluation and subject to the needs of the Operation.</w:t>
      </w:r>
    </w:p>
    <w:p w14:paraId="07AD77EF" w14:textId="77777777" w:rsidR="0018578E" w:rsidRPr="00867510" w:rsidRDefault="0018578E" w:rsidP="00B10494">
      <w:pPr>
        <w:rPr>
          <w:rFonts w:ascii="Times New Roman" w:hAnsi="Times New Roman" w:cs="Times New Roman"/>
          <w:sz w:val="24"/>
          <w:szCs w:val="24"/>
          <w:lang w:val="en-US"/>
        </w:rPr>
      </w:pPr>
    </w:p>
    <w:p w14:paraId="24DEAED1" w14:textId="77777777" w:rsidR="0018578E" w:rsidRPr="00867510" w:rsidRDefault="0018578E" w:rsidP="00B10494">
      <w:pPr>
        <w:rPr>
          <w:rFonts w:ascii="Times New Roman" w:hAnsi="Times New Roman" w:cs="Times New Roman"/>
          <w:sz w:val="24"/>
          <w:szCs w:val="24"/>
          <w:lang w:val="en-US"/>
        </w:rPr>
      </w:pPr>
    </w:p>
    <w:sectPr w:rsidR="0018578E" w:rsidRPr="00867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AD6"/>
    <w:multiLevelType w:val="multilevel"/>
    <w:tmpl w:val="8A9E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A5AFF"/>
    <w:multiLevelType w:val="multilevel"/>
    <w:tmpl w:val="7834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26CCA"/>
    <w:multiLevelType w:val="multilevel"/>
    <w:tmpl w:val="7E56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205BA"/>
    <w:multiLevelType w:val="multilevel"/>
    <w:tmpl w:val="D410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01F34"/>
    <w:multiLevelType w:val="hybridMultilevel"/>
    <w:tmpl w:val="3B86FB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5A324A"/>
    <w:multiLevelType w:val="multilevel"/>
    <w:tmpl w:val="F0C2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611BC"/>
    <w:multiLevelType w:val="hybridMultilevel"/>
    <w:tmpl w:val="B7E43344"/>
    <w:lvl w:ilvl="0" w:tplc="5D7A72C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A60568D"/>
    <w:multiLevelType w:val="multilevel"/>
    <w:tmpl w:val="468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A348F"/>
    <w:multiLevelType w:val="multilevel"/>
    <w:tmpl w:val="1012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E5BF1"/>
    <w:multiLevelType w:val="multilevel"/>
    <w:tmpl w:val="F988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C273C"/>
    <w:multiLevelType w:val="multilevel"/>
    <w:tmpl w:val="CDE8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91887"/>
    <w:multiLevelType w:val="hybridMultilevel"/>
    <w:tmpl w:val="31BE9B0C"/>
    <w:lvl w:ilvl="0" w:tplc="041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999734D"/>
    <w:multiLevelType w:val="multilevel"/>
    <w:tmpl w:val="574A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8795F"/>
    <w:multiLevelType w:val="multilevel"/>
    <w:tmpl w:val="130645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B764B7"/>
    <w:multiLevelType w:val="multilevel"/>
    <w:tmpl w:val="2EF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B7990"/>
    <w:multiLevelType w:val="multilevel"/>
    <w:tmpl w:val="95D8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E978A8"/>
    <w:multiLevelType w:val="multilevel"/>
    <w:tmpl w:val="4520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B86B53"/>
    <w:multiLevelType w:val="multilevel"/>
    <w:tmpl w:val="1C5A09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81499B"/>
    <w:multiLevelType w:val="multilevel"/>
    <w:tmpl w:val="13F4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97019"/>
    <w:multiLevelType w:val="hybridMultilevel"/>
    <w:tmpl w:val="0CB28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C57B23"/>
    <w:multiLevelType w:val="multilevel"/>
    <w:tmpl w:val="9624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DD194C"/>
    <w:multiLevelType w:val="multilevel"/>
    <w:tmpl w:val="71FAF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4833F7"/>
    <w:multiLevelType w:val="hybridMultilevel"/>
    <w:tmpl w:val="A5B0C8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F36B21"/>
    <w:multiLevelType w:val="multilevel"/>
    <w:tmpl w:val="42AA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B2058C"/>
    <w:multiLevelType w:val="multilevel"/>
    <w:tmpl w:val="FBC8D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8F088B"/>
    <w:multiLevelType w:val="multilevel"/>
    <w:tmpl w:val="B4746D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554CE5"/>
    <w:multiLevelType w:val="multilevel"/>
    <w:tmpl w:val="42E2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7322B3"/>
    <w:multiLevelType w:val="multilevel"/>
    <w:tmpl w:val="E2D6B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7F51CF"/>
    <w:multiLevelType w:val="multilevel"/>
    <w:tmpl w:val="6FBE5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501B6E"/>
    <w:multiLevelType w:val="hybridMultilevel"/>
    <w:tmpl w:val="F51E4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AD70BF"/>
    <w:multiLevelType w:val="multilevel"/>
    <w:tmpl w:val="326A5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D83F81"/>
    <w:multiLevelType w:val="multilevel"/>
    <w:tmpl w:val="0886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D848EA"/>
    <w:multiLevelType w:val="multilevel"/>
    <w:tmpl w:val="F99A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485531">
    <w:abstractNumId w:val="24"/>
  </w:num>
  <w:num w:numId="2" w16cid:durableId="866257272">
    <w:abstractNumId w:val="8"/>
  </w:num>
  <w:num w:numId="3" w16cid:durableId="1040320122">
    <w:abstractNumId w:val="26"/>
  </w:num>
  <w:num w:numId="4" w16cid:durableId="1242790326">
    <w:abstractNumId w:val="3"/>
  </w:num>
  <w:num w:numId="5" w16cid:durableId="324170248">
    <w:abstractNumId w:val="31"/>
  </w:num>
  <w:num w:numId="6" w16cid:durableId="1568028481">
    <w:abstractNumId w:val="30"/>
  </w:num>
  <w:num w:numId="7" w16cid:durableId="2011639110">
    <w:abstractNumId w:val="2"/>
  </w:num>
  <w:num w:numId="8" w16cid:durableId="138811493">
    <w:abstractNumId w:val="12"/>
  </w:num>
  <w:num w:numId="9" w16cid:durableId="380253064">
    <w:abstractNumId w:val="32"/>
  </w:num>
  <w:num w:numId="10" w16cid:durableId="424886377">
    <w:abstractNumId w:val="20"/>
  </w:num>
  <w:num w:numId="11" w16cid:durableId="1083068573">
    <w:abstractNumId w:val="4"/>
  </w:num>
  <w:num w:numId="12" w16cid:durableId="172498717">
    <w:abstractNumId w:val="11"/>
  </w:num>
  <w:num w:numId="13" w16cid:durableId="966163922">
    <w:abstractNumId w:val="22"/>
  </w:num>
  <w:num w:numId="14" w16cid:durableId="1370295889">
    <w:abstractNumId w:val="6"/>
  </w:num>
  <w:num w:numId="15" w16cid:durableId="388840654">
    <w:abstractNumId w:val="29"/>
  </w:num>
  <w:num w:numId="16" w16cid:durableId="1174490075">
    <w:abstractNumId w:val="19"/>
  </w:num>
  <w:num w:numId="17" w16cid:durableId="1512334975">
    <w:abstractNumId w:val="10"/>
  </w:num>
  <w:num w:numId="18" w16cid:durableId="145168574">
    <w:abstractNumId w:val="15"/>
  </w:num>
  <w:num w:numId="19" w16cid:durableId="1252928799">
    <w:abstractNumId w:val="7"/>
  </w:num>
  <w:num w:numId="20" w16cid:durableId="623925712">
    <w:abstractNumId w:val="18"/>
  </w:num>
  <w:num w:numId="21" w16cid:durableId="1538002033">
    <w:abstractNumId w:val="21"/>
  </w:num>
  <w:num w:numId="22" w16cid:durableId="591669877">
    <w:abstractNumId w:val="9"/>
  </w:num>
  <w:num w:numId="23" w16cid:durableId="431901506">
    <w:abstractNumId w:val="28"/>
  </w:num>
  <w:num w:numId="24" w16cid:durableId="592397155">
    <w:abstractNumId w:val="1"/>
  </w:num>
  <w:num w:numId="25" w16cid:durableId="337536115">
    <w:abstractNumId w:val="27"/>
  </w:num>
  <w:num w:numId="26" w16cid:durableId="1328628551">
    <w:abstractNumId w:val="14"/>
  </w:num>
  <w:num w:numId="27" w16cid:durableId="725757114">
    <w:abstractNumId w:val="17"/>
  </w:num>
  <w:num w:numId="28" w16cid:durableId="40911380">
    <w:abstractNumId w:val="16"/>
  </w:num>
  <w:num w:numId="29" w16cid:durableId="30569751">
    <w:abstractNumId w:val="13"/>
  </w:num>
  <w:num w:numId="30" w16cid:durableId="1909412194">
    <w:abstractNumId w:val="0"/>
  </w:num>
  <w:num w:numId="31" w16cid:durableId="1674650996">
    <w:abstractNumId w:val="25"/>
  </w:num>
  <w:num w:numId="32" w16cid:durableId="1445034865">
    <w:abstractNumId w:val="23"/>
  </w:num>
  <w:num w:numId="33" w16cid:durableId="95486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57"/>
    <w:rsid w:val="00074D14"/>
    <w:rsid w:val="000F265B"/>
    <w:rsid w:val="001816A4"/>
    <w:rsid w:val="0018578E"/>
    <w:rsid w:val="001E7703"/>
    <w:rsid w:val="002C410B"/>
    <w:rsid w:val="00383CED"/>
    <w:rsid w:val="004F3A2A"/>
    <w:rsid w:val="00521C58"/>
    <w:rsid w:val="00577F3E"/>
    <w:rsid w:val="005C2D1C"/>
    <w:rsid w:val="00663C57"/>
    <w:rsid w:val="00674367"/>
    <w:rsid w:val="00762625"/>
    <w:rsid w:val="0076762F"/>
    <w:rsid w:val="00787E24"/>
    <w:rsid w:val="0079410B"/>
    <w:rsid w:val="008666E0"/>
    <w:rsid w:val="00867510"/>
    <w:rsid w:val="008D039B"/>
    <w:rsid w:val="00914A06"/>
    <w:rsid w:val="009423E4"/>
    <w:rsid w:val="00A30791"/>
    <w:rsid w:val="00AD40FF"/>
    <w:rsid w:val="00B10494"/>
    <w:rsid w:val="00B34759"/>
    <w:rsid w:val="00BD77BC"/>
    <w:rsid w:val="00CD0050"/>
    <w:rsid w:val="00D24CC6"/>
    <w:rsid w:val="00D7668E"/>
    <w:rsid w:val="00E76339"/>
    <w:rsid w:val="00EA57F2"/>
    <w:rsid w:val="00EE0365"/>
    <w:rsid w:val="00F54B36"/>
    <w:rsid w:val="00FC2D0F"/>
    <w:rsid w:val="00FF4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3544"/>
  <w15:chartTrackingRefBased/>
  <w15:docId w15:val="{0487E509-409B-469F-99C2-D21E386B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521C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21C58"/>
    <w:rPr>
      <w:rFonts w:ascii="Times New Roman" w:eastAsia="Times New Roman" w:hAnsi="Times New Roman" w:cs="Times New Roman"/>
      <w:b/>
      <w:bCs/>
      <w:sz w:val="27"/>
      <w:szCs w:val="27"/>
      <w:lang w:eastAsia="ru-RU"/>
    </w:rPr>
  </w:style>
  <w:style w:type="paragraph" w:customStyle="1" w:styleId="thepagetitle">
    <w:name w:val="thepagetitle"/>
    <w:basedOn w:val="a"/>
    <w:rsid w:val="00521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521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aliases w:val="1.1.1_List Paragraph,Body,Bullets,List Bullet Mary,List Paragraph (numbered (a)),List Paragraph Char Char Char,List Paragraph nowy,List Paragraph1,Liste 1,Medium Grid 1 - Accent 21,Numbered List Paragraph,References,ReferencesCxSpLast,lp1"/>
    <w:basedOn w:val="a"/>
    <w:link w:val="a4"/>
    <w:uiPriority w:val="34"/>
    <w:qFormat/>
    <w:rsid w:val="00521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521C58"/>
    <w:rPr>
      <w:color w:val="0000FF"/>
      <w:u w:val="single"/>
    </w:rPr>
  </w:style>
  <w:style w:type="paragraph" w:styleId="a6">
    <w:name w:val="Normal (Web)"/>
    <w:basedOn w:val="a"/>
    <w:uiPriority w:val="99"/>
    <w:unhideWhenUsed/>
    <w:rsid w:val="00D766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74D1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4D14"/>
    <w:rPr>
      <w:rFonts w:ascii="Segoe UI" w:hAnsi="Segoe UI" w:cs="Segoe UI"/>
      <w:sz w:val="18"/>
      <w:szCs w:val="18"/>
    </w:rPr>
  </w:style>
  <w:style w:type="character" w:styleId="a9">
    <w:name w:val="Strong"/>
    <w:basedOn w:val="a0"/>
    <w:uiPriority w:val="22"/>
    <w:qFormat/>
    <w:rsid w:val="00D24CC6"/>
    <w:rPr>
      <w:b/>
      <w:bCs/>
    </w:rPr>
  </w:style>
  <w:style w:type="table" w:styleId="aa">
    <w:name w:val="Table Grid"/>
    <w:basedOn w:val="a1"/>
    <w:uiPriority w:val="59"/>
    <w:rsid w:val="00D24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1.1.1_List Paragraph Знак,Body Знак,Bullets Знак,List Bullet Mary Знак,List Paragraph (numbered (a)) Знак,List Paragraph Char Char Char Знак,List Paragraph nowy Знак,List Paragraph1 Знак,Liste 1 Знак,Medium Grid 1 - Accent 21 Знак"/>
    <w:basedOn w:val="a0"/>
    <w:link w:val="a3"/>
    <w:uiPriority w:val="34"/>
    <w:qFormat/>
    <w:rsid w:val="0018578E"/>
    <w:rPr>
      <w:rFonts w:ascii="Times New Roman" w:eastAsia="Times New Roman" w:hAnsi="Times New Roman" w:cs="Times New Roman"/>
      <w:sz w:val="24"/>
      <w:szCs w:val="24"/>
      <w:lang w:eastAsia="ru-RU"/>
    </w:rPr>
  </w:style>
  <w:style w:type="paragraph" w:styleId="ab">
    <w:name w:val="Body Text"/>
    <w:basedOn w:val="a"/>
    <w:link w:val="ac"/>
    <w:uiPriority w:val="1"/>
    <w:semiHidden/>
    <w:unhideWhenUsed/>
    <w:qFormat/>
    <w:rsid w:val="0018578E"/>
    <w:pPr>
      <w:widowControl w:val="0"/>
      <w:autoSpaceDE w:val="0"/>
      <w:autoSpaceDN w:val="0"/>
      <w:spacing w:after="0" w:line="240" w:lineRule="auto"/>
      <w:ind w:left="126" w:firstLine="688"/>
      <w:jc w:val="both"/>
    </w:pPr>
    <w:rPr>
      <w:rFonts w:ascii="Times New Roman" w:eastAsia="Times New Roman" w:hAnsi="Times New Roman" w:cs="Times New Roman"/>
      <w:sz w:val="27"/>
      <w:szCs w:val="27"/>
    </w:rPr>
  </w:style>
  <w:style w:type="character" w:customStyle="1" w:styleId="ac">
    <w:name w:val="Основной текст Знак"/>
    <w:basedOn w:val="a0"/>
    <w:link w:val="ab"/>
    <w:uiPriority w:val="1"/>
    <w:semiHidden/>
    <w:rsid w:val="0018578E"/>
    <w:rPr>
      <w:rFonts w:ascii="Times New Roman" w:eastAsia="Times New Roman" w:hAnsi="Times New Roman" w:cs="Times New Roman"/>
      <w:sz w:val="27"/>
      <w:szCs w:val="27"/>
    </w:rPr>
  </w:style>
  <w:style w:type="character" w:styleId="HTML">
    <w:name w:val="HTML Typewriter"/>
    <w:basedOn w:val="a0"/>
    <w:rsid w:val="0086751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319">
      <w:bodyDiv w:val="1"/>
      <w:marLeft w:val="0"/>
      <w:marRight w:val="0"/>
      <w:marTop w:val="0"/>
      <w:marBottom w:val="0"/>
      <w:divBdr>
        <w:top w:val="none" w:sz="0" w:space="0" w:color="auto"/>
        <w:left w:val="none" w:sz="0" w:space="0" w:color="auto"/>
        <w:bottom w:val="none" w:sz="0" w:space="0" w:color="auto"/>
        <w:right w:val="none" w:sz="0" w:space="0" w:color="auto"/>
      </w:divBdr>
      <w:divsChild>
        <w:div w:id="838622213">
          <w:marLeft w:val="0"/>
          <w:marRight w:val="0"/>
          <w:marTop w:val="0"/>
          <w:marBottom w:val="0"/>
          <w:divBdr>
            <w:top w:val="none" w:sz="0" w:space="0" w:color="auto"/>
            <w:left w:val="none" w:sz="0" w:space="0" w:color="auto"/>
            <w:bottom w:val="none" w:sz="0" w:space="0" w:color="auto"/>
            <w:right w:val="none" w:sz="0" w:space="0" w:color="auto"/>
          </w:divBdr>
          <w:divsChild>
            <w:div w:id="285550362">
              <w:marLeft w:val="-225"/>
              <w:marRight w:val="-225"/>
              <w:marTop w:val="450"/>
              <w:marBottom w:val="0"/>
              <w:divBdr>
                <w:top w:val="none" w:sz="0" w:space="0" w:color="auto"/>
                <w:left w:val="none" w:sz="0" w:space="0" w:color="auto"/>
                <w:bottom w:val="none" w:sz="0" w:space="0" w:color="auto"/>
                <w:right w:val="none" w:sz="0" w:space="0" w:color="auto"/>
              </w:divBdr>
              <w:divsChild>
                <w:div w:id="13444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7119">
          <w:marLeft w:val="0"/>
          <w:marRight w:val="0"/>
          <w:marTop w:val="0"/>
          <w:marBottom w:val="0"/>
          <w:divBdr>
            <w:top w:val="none" w:sz="0" w:space="0" w:color="auto"/>
            <w:left w:val="none" w:sz="0" w:space="0" w:color="auto"/>
            <w:bottom w:val="none" w:sz="0" w:space="0" w:color="auto"/>
            <w:right w:val="none" w:sz="0" w:space="0" w:color="auto"/>
          </w:divBdr>
          <w:divsChild>
            <w:div w:id="11765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2AF8F-5602-4327-BD10-67509082D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Sultangazieva Saltanat</dc:creator>
  <cp:keywords/>
  <dc:description/>
  <cp:lastModifiedBy>Ainura Kenjekaraeva</cp:lastModifiedBy>
  <cp:revision>2</cp:revision>
  <dcterms:created xsi:type="dcterms:W3CDTF">2026-05-13T11:15:00Z</dcterms:created>
  <dcterms:modified xsi:type="dcterms:W3CDTF">2026-05-13T11:15:00Z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adee2c1b-5347-41a6-93db-61e43ba9205b</vt:lpwstr>
  </property>
</Properties>
</file>