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A94CC">
      <w:pPr>
        <w:spacing w:line="276" w:lineRule="auto"/>
        <w:jc w:val="both"/>
        <w:rPr>
          <w:spacing w:val="-2"/>
          <w:sz w:val="22"/>
          <w:szCs w:val="22"/>
          <w:lang w:val="ru-RU"/>
        </w:rPr>
      </w:pPr>
    </w:p>
    <w:p w14:paraId="491B332C">
      <w:pPr>
        <w:pStyle w:val="45"/>
        <w:tabs>
          <w:tab w:val="left" w:pos="0"/>
        </w:tabs>
        <w:spacing w:line="276" w:lineRule="auto"/>
        <w:jc w:val="center"/>
        <w:rPr>
          <w:b/>
          <w:bCs/>
          <w:color w:val="000000"/>
          <w:sz w:val="40"/>
          <w:szCs w:val="40"/>
          <w:shd w:val="clear" w:color="auto" w:fill="FFFFFF"/>
          <w:lang w:val="ru-RU"/>
        </w:rPr>
      </w:pPr>
      <w:bookmarkStart w:id="0" w:name="_Hlk82441207"/>
    </w:p>
    <w:p w14:paraId="3386E964">
      <w:pPr>
        <w:pStyle w:val="45"/>
        <w:tabs>
          <w:tab w:val="left" w:pos="0"/>
        </w:tabs>
        <w:spacing w:line="276" w:lineRule="auto"/>
        <w:jc w:val="center"/>
        <w:rPr>
          <w:b/>
          <w:bCs/>
          <w:color w:val="000000"/>
          <w:sz w:val="40"/>
          <w:szCs w:val="40"/>
          <w:shd w:val="clear" w:color="auto" w:fill="FFFFFF"/>
          <w:lang w:val="ru-RU"/>
        </w:rPr>
      </w:pPr>
    </w:p>
    <w:p w14:paraId="59B462F7">
      <w:pPr>
        <w:pStyle w:val="45"/>
        <w:tabs>
          <w:tab w:val="left" w:pos="0"/>
        </w:tabs>
        <w:spacing w:line="276" w:lineRule="auto"/>
        <w:jc w:val="center"/>
        <w:rPr>
          <w:b/>
          <w:bCs/>
          <w:color w:val="000000"/>
          <w:sz w:val="40"/>
          <w:szCs w:val="40"/>
          <w:shd w:val="clear" w:color="auto" w:fill="FFFFFF"/>
          <w:lang w:val="ru-RU"/>
        </w:rPr>
      </w:pPr>
    </w:p>
    <w:p w14:paraId="78457C10">
      <w:pPr>
        <w:pStyle w:val="45"/>
        <w:tabs>
          <w:tab w:val="left" w:pos="0"/>
        </w:tabs>
        <w:spacing w:line="276" w:lineRule="auto"/>
        <w:jc w:val="center"/>
        <w:rPr>
          <w:b/>
          <w:bCs/>
          <w:color w:val="000000"/>
          <w:sz w:val="40"/>
          <w:szCs w:val="40"/>
          <w:shd w:val="clear" w:color="auto" w:fill="FFFFFF"/>
          <w:lang w:val="ru-RU"/>
        </w:rPr>
      </w:pPr>
    </w:p>
    <w:p w14:paraId="1CB565F4">
      <w:pPr>
        <w:pStyle w:val="45"/>
        <w:tabs>
          <w:tab w:val="left" w:pos="0"/>
        </w:tabs>
        <w:spacing w:line="276" w:lineRule="auto"/>
        <w:jc w:val="center"/>
        <w:rPr>
          <w:b/>
          <w:sz w:val="48"/>
          <w:szCs w:val="48"/>
          <w:lang w:val="ru-RU"/>
        </w:rPr>
      </w:pPr>
      <w:r>
        <w:rPr>
          <w:b/>
          <w:sz w:val="48"/>
          <w:szCs w:val="48"/>
          <w:lang w:val="ru-RU"/>
        </w:rPr>
        <w:t>ИП «Жумабекова Тазагул»</w:t>
      </w:r>
    </w:p>
    <w:p w14:paraId="76150A18">
      <w:pPr>
        <w:pStyle w:val="45"/>
        <w:tabs>
          <w:tab w:val="left" w:pos="0"/>
        </w:tabs>
        <w:spacing w:line="276" w:lineRule="auto"/>
        <w:jc w:val="center"/>
        <w:rPr>
          <w:b/>
          <w:bCs/>
          <w:sz w:val="52"/>
          <w:szCs w:val="52"/>
          <w:lang w:val="ru-RU"/>
        </w:rPr>
      </w:pPr>
      <w:r>
        <w:rPr>
          <w:b/>
          <w:bCs/>
          <w:sz w:val="52"/>
          <w:szCs w:val="52"/>
          <w:lang w:val="ru-RU"/>
        </w:rPr>
        <w:t>Запрос на ценовое предложение</w:t>
      </w:r>
    </w:p>
    <w:p w14:paraId="20312D5C">
      <w:pPr>
        <w:spacing w:line="276" w:lineRule="auto"/>
        <w:ind w:left="-567"/>
        <w:jc w:val="center"/>
        <w:rPr>
          <w:b/>
          <w:sz w:val="40"/>
          <w:lang w:val="ru-RU"/>
        </w:rPr>
      </w:pPr>
    </w:p>
    <w:p w14:paraId="19A5F8F7">
      <w:pPr>
        <w:spacing w:line="276" w:lineRule="auto"/>
        <w:jc w:val="center"/>
        <w:rPr>
          <w:sz w:val="40"/>
          <w:lang w:val="ru-RU"/>
        </w:rPr>
      </w:pPr>
      <w:r>
        <w:rPr>
          <w:sz w:val="40"/>
          <w:lang w:val="ru-RU"/>
        </w:rPr>
        <w:t>для</w:t>
      </w:r>
    </w:p>
    <w:p w14:paraId="0F4CEDB5">
      <w:pPr>
        <w:spacing w:line="276" w:lineRule="auto"/>
        <w:jc w:val="center"/>
        <w:rPr>
          <w:b/>
          <w:bCs/>
          <w:sz w:val="48"/>
          <w:szCs w:val="48"/>
          <w:lang w:val="ru-RU"/>
        </w:rPr>
      </w:pPr>
      <w:r>
        <w:rPr>
          <w:b/>
          <w:bCs/>
          <w:sz w:val="48"/>
          <w:szCs w:val="48"/>
          <w:lang w:val="ru-RU"/>
        </w:rPr>
        <w:t xml:space="preserve">поставки </w:t>
      </w:r>
    </w:p>
    <w:p w14:paraId="1547E14B">
      <w:pPr>
        <w:spacing w:line="276" w:lineRule="auto"/>
        <w:ind w:left="-567"/>
        <w:jc w:val="center"/>
        <w:rPr>
          <w:lang w:val="ru-RU"/>
        </w:rPr>
      </w:pPr>
    </w:p>
    <w:p w14:paraId="019AB7FE">
      <w:pPr>
        <w:tabs>
          <w:tab w:val="left" w:pos="0"/>
        </w:tabs>
        <w:spacing w:line="276" w:lineRule="auto"/>
        <w:jc w:val="center"/>
        <w:rPr>
          <w:b/>
          <w:sz w:val="44"/>
          <w:szCs w:val="44"/>
          <w:lang w:val="ru-RU"/>
        </w:rPr>
      </w:pPr>
      <w:r>
        <w:rPr>
          <w:b/>
          <w:sz w:val="44"/>
          <w:szCs w:val="44"/>
          <w:lang w:val="ru-RU"/>
        </w:rPr>
        <w:t xml:space="preserve">оборудования для </w:t>
      </w:r>
      <w:r>
        <w:rPr>
          <w:b/>
          <w:sz w:val="44"/>
          <w:szCs w:val="44"/>
          <w:lang w:val="ru-RU"/>
        </w:rPr>
        <w:br w:type="textWrapping"/>
      </w:r>
      <w:r>
        <w:rPr>
          <w:b/>
          <w:sz w:val="44"/>
          <w:szCs w:val="44"/>
          <w:lang w:val="ru-RU"/>
        </w:rPr>
        <w:t xml:space="preserve"> проект расширения общепита «Торт Казан»</w:t>
      </w:r>
    </w:p>
    <w:p w14:paraId="2791322A">
      <w:pPr>
        <w:tabs>
          <w:tab w:val="left" w:pos="0"/>
        </w:tabs>
        <w:spacing w:line="276" w:lineRule="auto"/>
        <w:jc w:val="center"/>
        <w:rPr>
          <w:b/>
          <w:lang w:val="ru-RU"/>
        </w:rPr>
      </w:pPr>
    </w:p>
    <w:p w14:paraId="083E3327">
      <w:pPr>
        <w:tabs>
          <w:tab w:val="left" w:pos="0"/>
        </w:tabs>
        <w:spacing w:line="276" w:lineRule="auto"/>
        <w:jc w:val="center"/>
        <w:rPr>
          <w:b/>
          <w:lang w:val="ru-RU"/>
        </w:rPr>
      </w:pPr>
    </w:p>
    <w:p w14:paraId="553D1F7E">
      <w:pPr>
        <w:tabs>
          <w:tab w:val="left" w:pos="0"/>
        </w:tabs>
        <w:spacing w:line="276" w:lineRule="auto"/>
        <w:jc w:val="center"/>
        <w:rPr>
          <w:b/>
          <w:lang w:val="ru-RU"/>
        </w:rPr>
      </w:pPr>
    </w:p>
    <w:p w14:paraId="24EE0F70">
      <w:pPr>
        <w:tabs>
          <w:tab w:val="left" w:pos="0"/>
        </w:tabs>
        <w:spacing w:line="276" w:lineRule="auto"/>
        <w:jc w:val="center"/>
        <w:rPr>
          <w:b/>
          <w:lang w:val="ru-RU"/>
        </w:rPr>
      </w:pPr>
    </w:p>
    <w:p w14:paraId="5BD2F1A2">
      <w:pPr>
        <w:tabs>
          <w:tab w:val="left" w:pos="0"/>
        </w:tabs>
        <w:spacing w:line="276" w:lineRule="auto"/>
        <w:rPr>
          <w:b/>
          <w:lang w:val="ru-RU"/>
        </w:rPr>
      </w:pPr>
    </w:p>
    <w:p w14:paraId="468CCBA9">
      <w:pPr>
        <w:tabs>
          <w:tab w:val="left" w:pos="0"/>
        </w:tabs>
        <w:spacing w:line="276" w:lineRule="auto"/>
        <w:rPr>
          <w:b/>
          <w:lang w:val="ru-RU"/>
        </w:rPr>
      </w:pPr>
    </w:p>
    <w:p w14:paraId="226DFD3F">
      <w:pPr>
        <w:tabs>
          <w:tab w:val="left" w:pos="0"/>
        </w:tabs>
        <w:spacing w:line="276" w:lineRule="auto"/>
        <w:rPr>
          <w:b/>
          <w:lang w:val="ru-RU"/>
        </w:rPr>
      </w:pPr>
    </w:p>
    <w:p w14:paraId="70990E1C">
      <w:pPr>
        <w:tabs>
          <w:tab w:val="left" w:pos="0"/>
        </w:tabs>
        <w:spacing w:line="276" w:lineRule="auto"/>
        <w:rPr>
          <w:b/>
          <w:lang w:val="ru-RU"/>
        </w:rPr>
      </w:pPr>
    </w:p>
    <w:p w14:paraId="3ABF392A">
      <w:pPr>
        <w:tabs>
          <w:tab w:val="left" w:pos="0"/>
        </w:tabs>
        <w:spacing w:line="276" w:lineRule="auto"/>
        <w:jc w:val="center"/>
        <w:rPr>
          <w:b/>
          <w:lang w:val="ru-RU"/>
        </w:rPr>
      </w:pPr>
    </w:p>
    <w:p w14:paraId="5500D6CD">
      <w:pPr>
        <w:tabs>
          <w:tab w:val="left" w:pos="0"/>
        </w:tabs>
        <w:spacing w:line="276" w:lineRule="auto"/>
        <w:jc w:val="center"/>
        <w:rPr>
          <w:b/>
          <w:lang w:val="ru-RU"/>
        </w:rPr>
      </w:pPr>
    </w:p>
    <w:p w14:paraId="1C3D4872">
      <w:pPr>
        <w:tabs>
          <w:tab w:val="left" w:pos="0"/>
        </w:tabs>
        <w:spacing w:line="276" w:lineRule="auto"/>
        <w:jc w:val="center"/>
        <w:rPr>
          <w:b/>
          <w:lang w:val="ru-RU"/>
        </w:rPr>
      </w:pPr>
    </w:p>
    <w:p w14:paraId="76110C50">
      <w:pPr>
        <w:tabs>
          <w:tab w:val="left" w:pos="0"/>
        </w:tabs>
        <w:spacing w:line="276" w:lineRule="auto"/>
        <w:jc w:val="center"/>
        <w:rPr>
          <w:b/>
          <w:lang w:val="ru-RU"/>
        </w:rPr>
      </w:pPr>
    </w:p>
    <w:p w14:paraId="07123D2C">
      <w:pPr>
        <w:tabs>
          <w:tab w:val="left" w:pos="0"/>
        </w:tabs>
        <w:spacing w:line="276" w:lineRule="auto"/>
        <w:jc w:val="center"/>
        <w:rPr>
          <w:b/>
          <w:lang w:val="ru-RU"/>
        </w:rPr>
      </w:pPr>
    </w:p>
    <w:p w14:paraId="61C167DF">
      <w:pPr>
        <w:tabs>
          <w:tab w:val="left" w:pos="0"/>
        </w:tabs>
        <w:spacing w:line="276" w:lineRule="auto"/>
        <w:jc w:val="center"/>
        <w:rPr>
          <w:b/>
          <w:lang w:val="ru-RU"/>
        </w:rPr>
      </w:pPr>
    </w:p>
    <w:p w14:paraId="53BABA44">
      <w:pPr>
        <w:tabs>
          <w:tab w:val="left" w:pos="0"/>
        </w:tabs>
        <w:spacing w:line="276" w:lineRule="auto"/>
        <w:jc w:val="center"/>
        <w:rPr>
          <w:b/>
          <w:lang w:val="ru-RU"/>
        </w:rPr>
      </w:pPr>
    </w:p>
    <w:p w14:paraId="3D889DE4">
      <w:pPr>
        <w:tabs>
          <w:tab w:val="left" w:pos="0"/>
        </w:tabs>
        <w:spacing w:line="276" w:lineRule="auto"/>
        <w:jc w:val="center"/>
        <w:rPr>
          <w:b/>
          <w:lang w:val="ru-RU"/>
        </w:rPr>
      </w:pPr>
    </w:p>
    <w:p w14:paraId="3D1E0FD7">
      <w:pPr>
        <w:tabs>
          <w:tab w:val="left" w:pos="0"/>
        </w:tabs>
        <w:spacing w:line="276" w:lineRule="auto"/>
        <w:jc w:val="center"/>
        <w:rPr>
          <w:b/>
          <w:lang w:val="ru-RU"/>
        </w:rPr>
        <w:sectPr>
          <w:headerReference r:id="rId3" w:type="default"/>
          <w:pgSz w:w="11900" w:h="16820"/>
          <w:pgMar w:top="2347" w:right="964" w:bottom="1440" w:left="1015" w:header="709" w:footer="709" w:gutter="0"/>
          <w:pgNumType w:start="2"/>
          <w:cols w:space="708" w:num="1"/>
          <w:docGrid w:linePitch="360" w:charSpace="0"/>
        </w:sectPr>
      </w:pPr>
      <w:r>
        <w:rPr>
          <w:b/>
          <w:lang w:val="ru-RU"/>
        </w:rPr>
        <w:t xml:space="preserve">Дата выпуска: </w:t>
      </w:r>
      <w:bookmarkEnd w:id="0"/>
      <w:r>
        <w:rPr>
          <w:b/>
          <w:lang w:val="ru-RU"/>
        </w:rPr>
        <w:t>22.04.2026</w:t>
      </w:r>
    </w:p>
    <w:p w14:paraId="4552870B">
      <w:pPr>
        <w:spacing w:before="120" w:line="276" w:lineRule="auto"/>
        <w:jc w:val="center"/>
        <w:rPr>
          <w:b/>
          <w:sz w:val="32"/>
          <w:szCs w:val="32"/>
          <w:lang w:val="ru-RU"/>
        </w:rPr>
      </w:pPr>
      <w:bookmarkStart w:id="1" w:name="_Hlk82441383"/>
      <w:r>
        <w:rPr>
          <w:b/>
          <w:sz w:val="32"/>
          <w:szCs w:val="32"/>
          <w:lang w:val="ru-RU"/>
        </w:rPr>
        <w:t>ЗАПРОС НА ЦЕНОВОЕ ПРЕДЛОЖЕНИЕ</w:t>
      </w:r>
    </w:p>
    <w:p w14:paraId="0A1385F8">
      <w:pPr>
        <w:spacing w:before="120" w:line="276" w:lineRule="auto"/>
        <w:rPr>
          <w:b/>
          <w:lang w:val="ru-RU"/>
        </w:rPr>
      </w:pPr>
      <w:r>
        <w:rPr>
          <w:lang w:val="ru-RU"/>
        </w:rPr>
        <w:t xml:space="preserve">Наименование проекта: </w:t>
      </w:r>
      <w:r>
        <w:rPr>
          <w:b/>
          <w:lang w:val="ru-RU"/>
        </w:rPr>
        <w:t>Оборудования для расширения общепита «Торт Казан»</w:t>
      </w:r>
    </w:p>
    <w:p w14:paraId="2A072DD2">
      <w:pPr>
        <w:ind w:left="2160" w:hanging="2160"/>
        <w:contextualSpacing/>
        <w:rPr>
          <w:b/>
          <w:lang w:val="ru-RU"/>
        </w:rPr>
      </w:pPr>
    </w:p>
    <w:p w14:paraId="7075AA00">
      <w:pPr>
        <w:ind w:left="2160" w:hanging="2160"/>
        <w:contextualSpacing/>
        <w:rPr>
          <w:b/>
          <w:lang w:val="ru-RU"/>
        </w:rPr>
      </w:pPr>
      <w:r>
        <w:rPr>
          <w:b/>
          <w:lang w:val="ru-RU"/>
        </w:rPr>
        <w:t xml:space="preserve">Дата: 22.04.2026 </w:t>
      </w:r>
    </w:p>
    <w:p w14:paraId="6D07C499">
      <w:pPr>
        <w:contextualSpacing/>
        <w:rPr>
          <w:b/>
          <w:u w:val="single"/>
          <w:lang w:val="ru-RU"/>
        </w:rPr>
      </w:pPr>
    </w:p>
    <w:p w14:paraId="5E0E127F">
      <w:pPr>
        <w:ind w:left="2160" w:hanging="2160"/>
        <w:contextualSpacing/>
        <w:rPr>
          <w:lang w:val="ru-RU"/>
        </w:rPr>
      </w:pPr>
      <w:r>
        <w:rPr>
          <w:b/>
          <w:lang w:val="ru-RU"/>
        </w:rPr>
        <w:t xml:space="preserve">Название проекта: </w:t>
      </w:r>
      <w:r>
        <w:rPr>
          <w:lang w:val="ru-RU"/>
        </w:rPr>
        <w:t>Проект Регионального Экономического Развития</w:t>
      </w:r>
    </w:p>
    <w:p w14:paraId="5CE88826">
      <w:pPr>
        <w:ind w:left="2160" w:hanging="2160"/>
        <w:contextualSpacing/>
        <w:rPr>
          <w:b/>
          <w:lang w:val="ru-RU"/>
        </w:rPr>
      </w:pPr>
    </w:p>
    <w:p w14:paraId="5FBBF6DD">
      <w:pPr>
        <w:suppressAutoHyphens/>
        <w:rPr>
          <w:lang w:val="ru-RU"/>
        </w:rPr>
      </w:pPr>
      <w:r>
        <w:rPr>
          <w:b/>
          <w:lang w:val="ru-RU"/>
        </w:rPr>
        <w:t>Источник финансирования АРИС</w:t>
      </w:r>
    </w:p>
    <w:p w14:paraId="48FA6D0D">
      <w:pPr>
        <w:contextualSpacing/>
        <w:rPr>
          <w:b/>
          <w:lang w:val="ru-RU"/>
        </w:rPr>
      </w:pPr>
    </w:p>
    <w:p w14:paraId="4A3673B9">
      <w:pPr>
        <w:contextualSpacing/>
        <w:rPr>
          <w:b/>
          <w:lang w:val="ru-RU"/>
        </w:rPr>
      </w:pPr>
      <w:r>
        <w:rPr>
          <w:b/>
          <w:lang w:val="ru-RU"/>
        </w:rPr>
        <w:t xml:space="preserve">Кому: </w:t>
      </w:r>
      <w:r>
        <w:rPr>
          <w:lang w:val="ru-RU"/>
        </w:rPr>
        <w:t xml:space="preserve">Поставщикам </w:t>
      </w:r>
    </w:p>
    <w:p w14:paraId="26025E8B">
      <w:pPr>
        <w:pBdr>
          <w:top w:val="thinThickSmallGap" w:color="auto" w:sz="24" w:space="1"/>
        </w:pBdr>
        <w:contextualSpacing/>
        <w:rPr>
          <w:b/>
          <w:lang w:val="ru-RU"/>
        </w:rPr>
      </w:pPr>
    </w:p>
    <w:p w14:paraId="43F1C846">
      <w:pPr>
        <w:contextualSpacing/>
        <w:rPr>
          <w:b/>
          <w:lang w:val="ru-RU"/>
        </w:rPr>
      </w:pPr>
      <w:r>
        <w:rPr>
          <w:b/>
          <w:lang w:val="ru-RU"/>
        </w:rPr>
        <w:t>Уважаемые господа,</w:t>
      </w:r>
    </w:p>
    <w:p w14:paraId="2D9CEDBD">
      <w:pPr>
        <w:spacing w:before="240" w:line="276" w:lineRule="auto"/>
        <w:contextualSpacing/>
        <w:jc w:val="both"/>
        <w:rPr>
          <w:lang w:val="ru-RU"/>
        </w:rPr>
      </w:pPr>
    </w:p>
    <w:p w14:paraId="785929FF">
      <w:pPr>
        <w:numPr>
          <w:ilvl w:val="0"/>
          <w:numId w:val="2"/>
        </w:numPr>
        <w:spacing w:before="240" w:line="276" w:lineRule="auto"/>
        <w:contextualSpacing/>
        <w:jc w:val="both"/>
        <w:rPr>
          <w:b/>
          <w:lang w:val="ru-RU"/>
        </w:rPr>
      </w:pPr>
      <w:r>
        <w:rPr>
          <w:lang w:val="ru-RU"/>
        </w:rPr>
        <w:t>ИП «Жумабекова Тазагул» настоящим приглашает Вас представить свои ценовые котировки/ предложения на поставку</w:t>
      </w:r>
      <w:r>
        <w:rPr>
          <w:rFonts w:eastAsia="SimSun"/>
          <w:lang w:val="ru-RU" w:eastAsia="zh-CN"/>
        </w:rPr>
        <w:t xml:space="preserve"> кухонного оборудования,</w:t>
      </w:r>
      <w:r>
        <w:rPr>
          <w:lang w:val="ru-RU"/>
        </w:rPr>
        <w:t xml:space="preserve"> в следующем объеме/количестве</w:t>
      </w:r>
      <w:r>
        <w:rPr>
          <w:b/>
          <w:lang w:val="ru-RU"/>
        </w:rPr>
        <w:t>:</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5636"/>
        <w:gridCol w:w="1517"/>
        <w:gridCol w:w="1667"/>
      </w:tblGrid>
      <w:tr w14:paraId="00F3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696" w:type="dxa"/>
            <w:vAlign w:val="center"/>
          </w:tcPr>
          <w:p w14:paraId="0FAD20A3">
            <w:pPr>
              <w:spacing w:before="240" w:line="276" w:lineRule="auto"/>
              <w:contextualSpacing/>
              <w:jc w:val="center"/>
              <w:rPr>
                <w:b/>
                <w:lang w:val="ru-RU"/>
              </w:rPr>
            </w:pPr>
            <w:r>
              <w:rPr>
                <w:b/>
                <w:lang w:val="ru-RU"/>
              </w:rPr>
              <w:t>№</w:t>
            </w:r>
          </w:p>
          <w:p w14:paraId="7FC9D092">
            <w:pPr>
              <w:spacing w:before="240" w:line="276" w:lineRule="auto"/>
              <w:contextualSpacing/>
              <w:jc w:val="center"/>
              <w:rPr>
                <w:b/>
                <w:lang w:val="ru-RU"/>
              </w:rPr>
            </w:pPr>
            <w:r>
              <w:rPr>
                <w:b/>
                <w:lang w:val="ru-RU"/>
              </w:rPr>
              <w:t>п/п</w:t>
            </w:r>
          </w:p>
        </w:tc>
        <w:tc>
          <w:tcPr>
            <w:tcW w:w="5636" w:type="dxa"/>
            <w:vAlign w:val="center"/>
          </w:tcPr>
          <w:p w14:paraId="7C537C8D">
            <w:pPr>
              <w:spacing w:before="240" w:line="276" w:lineRule="auto"/>
              <w:contextualSpacing/>
              <w:jc w:val="center"/>
              <w:rPr>
                <w:b/>
                <w:lang w:val="ru-RU"/>
              </w:rPr>
            </w:pPr>
            <w:r>
              <w:rPr>
                <w:b/>
                <w:lang w:val="ru-RU"/>
              </w:rPr>
              <w:t>Наименование</w:t>
            </w:r>
          </w:p>
        </w:tc>
        <w:tc>
          <w:tcPr>
            <w:tcW w:w="1517" w:type="dxa"/>
            <w:vAlign w:val="center"/>
          </w:tcPr>
          <w:p w14:paraId="29DE35D2">
            <w:pPr>
              <w:spacing w:before="240" w:line="276" w:lineRule="auto"/>
              <w:contextualSpacing/>
              <w:jc w:val="center"/>
              <w:rPr>
                <w:b/>
                <w:lang w:val="ru-RU"/>
              </w:rPr>
            </w:pPr>
            <w:r>
              <w:rPr>
                <w:b/>
                <w:lang w:val="ru-RU"/>
              </w:rPr>
              <w:t>Ед.изм.</w:t>
            </w:r>
          </w:p>
        </w:tc>
        <w:tc>
          <w:tcPr>
            <w:tcW w:w="1667" w:type="dxa"/>
            <w:vAlign w:val="center"/>
          </w:tcPr>
          <w:p w14:paraId="4CC371DC">
            <w:pPr>
              <w:spacing w:before="240" w:line="276" w:lineRule="auto"/>
              <w:contextualSpacing/>
              <w:jc w:val="center"/>
              <w:rPr>
                <w:b/>
                <w:lang w:val="ru-RU"/>
              </w:rPr>
            </w:pPr>
            <w:r>
              <w:rPr>
                <w:b/>
                <w:sz w:val="22"/>
                <w:szCs w:val="22"/>
                <w:lang w:val="ru-RU"/>
              </w:rPr>
              <w:t>Количество</w:t>
            </w:r>
          </w:p>
        </w:tc>
      </w:tr>
      <w:tr w14:paraId="75D8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696" w:type="dxa"/>
            <w:vAlign w:val="center"/>
          </w:tcPr>
          <w:p w14:paraId="2781C755">
            <w:pPr>
              <w:spacing w:before="240" w:line="276" w:lineRule="auto"/>
              <w:contextualSpacing/>
              <w:jc w:val="center"/>
              <w:rPr>
                <w:bCs/>
                <w:lang w:val="ru-RU"/>
              </w:rPr>
            </w:pPr>
            <w:r>
              <w:rPr>
                <w:bCs/>
                <w:lang w:val="ru-RU"/>
              </w:rPr>
              <w:t>1</w:t>
            </w:r>
          </w:p>
        </w:tc>
        <w:tc>
          <w:tcPr>
            <w:tcW w:w="5636" w:type="dxa"/>
          </w:tcPr>
          <w:p w14:paraId="38C8C938">
            <w:pPr>
              <w:pStyle w:val="28"/>
              <w:rPr>
                <w:bCs/>
                <w:lang w:val="ky-KG"/>
              </w:rPr>
            </w:pPr>
            <w:r>
              <w:rPr>
                <w:bCs/>
              </w:rPr>
              <w:t>Дизельный генератор (30 кВт)</w:t>
            </w:r>
          </w:p>
        </w:tc>
        <w:tc>
          <w:tcPr>
            <w:tcW w:w="1517" w:type="dxa"/>
            <w:vAlign w:val="center"/>
          </w:tcPr>
          <w:p w14:paraId="09DC374F">
            <w:pPr>
              <w:spacing w:before="240" w:line="276" w:lineRule="auto"/>
              <w:contextualSpacing/>
              <w:jc w:val="center"/>
              <w:rPr>
                <w:bCs/>
                <w:lang w:val="ru-RU"/>
              </w:rPr>
            </w:pPr>
            <w:r>
              <w:rPr>
                <w:bCs/>
                <w:lang w:val="ru-RU"/>
              </w:rPr>
              <w:t>шт</w:t>
            </w:r>
          </w:p>
        </w:tc>
        <w:tc>
          <w:tcPr>
            <w:tcW w:w="1667" w:type="dxa"/>
            <w:vAlign w:val="center"/>
          </w:tcPr>
          <w:p w14:paraId="60429848">
            <w:pPr>
              <w:spacing w:before="240" w:line="276" w:lineRule="auto"/>
              <w:contextualSpacing/>
              <w:jc w:val="center"/>
              <w:rPr>
                <w:bCs/>
                <w:lang w:val="ru-RU"/>
              </w:rPr>
            </w:pPr>
            <w:r>
              <w:rPr>
                <w:bCs/>
                <w:lang w:val="ru-RU"/>
              </w:rPr>
              <w:t>1</w:t>
            </w:r>
          </w:p>
        </w:tc>
      </w:tr>
      <w:tr w14:paraId="4493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1C17D054">
            <w:pPr>
              <w:spacing w:before="240" w:line="276" w:lineRule="auto"/>
              <w:contextualSpacing/>
              <w:jc w:val="center"/>
              <w:rPr>
                <w:bCs/>
                <w:lang w:val="ru-RU"/>
              </w:rPr>
            </w:pPr>
            <w:r>
              <w:rPr>
                <w:bCs/>
                <w:lang w:val="ru-RU"/>
              </w:rPr>
              <w:t>2</w:t>
            </w:r>
          </w:p>
        </w:tc>
        <w:tc>
          <w:tcPr>
            <w:tcW w:w="5636" w:type="dxa"/>
          </w:tcPr>
          <w:p w14:paraId="589FE12F">
            <w:pPr>
              <w:contextualSpacing/>
              <w:rPr>
                <w:bCs/>
                <w:lang w:val="ru-RU"/>
              </w:rPr>
            </w:pPr>
            <w:r>
              <w:rPr>
                <w:rFonts w:eastAsia="SimSun"/>
                <w:bCs/>
              </w:rPr>
              <w:t>Комплект уличного зонта</w:t>
            </w:r>
          </w:p>
        </w:tc>
        <w:tc>
          <w:tcPr>
            <w:tcW w:w="1517" w:type="dxa"/>
            <w:vAlign w:val="center"/>
          </w:tcPr>
          <w:p w14:paraId="088EAA89">
            <w:pPr>
              <w:spacing w:before="240" w:line="276" w:lineRule="auto"/>
              <w:contextualSpacing/>
              <w:jc w:val="center"/>
              <w:rPr>
                <w:bCs/>
                <w:lang w:val="ru-RU"/>
              </w:rPr>
            </w:pPr>
            <w:r>
              <w:rPr>
                <w:bCs/>
                <w:lang w:val="ru-RU"/>
              </w:rPr>
              <w:t>шт</w:t>
            </w:r>
          </w:p>
        </w:tc>
        <w:tc>
          <w:tcPr>
            <w:tcW w:w="1667" w:type="dxa"/>
            <w:vAlign w:val="center"/>
          </w:tcPr>
          <w:p w14:paraId="6430F0CE">
            <w:pPr>
              <w:spacing w:before="240" w:line="276" w:lineRule="auto"/>
              <w:contextualSpacing/>
              <w:jc w:val="center"/>
              <w:rPr>
                <w:bCs/>
                <w:lang w:val="ru-RU"/>
              </w:rPr>
            </w:pPr>
            <w:r>
              <w:rPr>
                <w:bCs/>
                <w:lang w:val="ru-RU"/>
              </w:rPr>
              <w:t>5</w:t>
            </w:r>
          </w:p>
        </w:tc>
      </w:tr>
      <w:tr w14:paraId="38A5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vAlign w:val="center"/>
          </w:tcPr>
          <w:p w14:paraId="569B3C7D">
            <w:pPr>
              <w:spacing w:before="240" w:line="276" w:lineRule="auto"/>
              <w:contextualSpacing/>
              <w:jc w:val="center"/>
              <w:rPr>
                <w:bCs/>
                <w:lang w:val="ru-RU"/>
              </w:rPr>
            </w:pPr>
            <w:r>
              <w:rPr>
                <w:bCs/>
                <w:lang w:val="ru-RU"/>
              </w:rPr>
              <w:t>3</w:t>
            </w:r>
          </w:p>
        </w:tc>
        <w:tc>
          <w:tcPr>
            <w:tcW w:w="5636" w:type="dxa"/>
          </w:tcPr>
          <w:p w14:paraId="1C6C642D">
            <w:pPr>
              <w:contextualSpacing/>
              <w:rPr>
                <w:bCs/>
                <w:lang w:val="ru-RU"/>
              </w:rPr>
            </w:pPr>
            <w:r>
              <w:rPr>
                <w:rFonts w:eastAsia="SimSun"/>
                <w:bCs/>
                <w:lang w:val="ru-RU"/>
              </w:rPr>
              <w:t>Комплект летней уличной мебели (стол и стулья)</w:t>
            </w:r>
          </w:p>
        </w:tc>
        <w:tc>
          <w:tcPr>
            <w:tcW w:w="1517" w:type="dxa"/>
            <w:vAlign w:val="center"/>
          </w:tcPr>
          <w:p w14:paraId="054BC0E2">
            <w:pPr>
              <w:spacing w:before="240" w:line="276" w:lineRule="auto"/>
              <w:contextualSpacing/>
              <w:jc w:val="center"/>
              <w:rPr>
                <w:bCs/>
                <w:lang w:val="ru-RU"/>
              </w:rPr>
            </w:pPr>
            <w:r>
              <w:rPr>
                <w:rFonts w:eastAsia="SimSun"/>
                <w:bCs/>
              </w:rPr>
              <w:t>Комплект</w:t>
            </w:r>
          </w:p>
        </w:tc>
        <w:tc>
          <w:tcPr>
            <w:tcW w:w="1667" w:type="dxa"/>
            <w:vAlign w:val="center"/>
          </w:tcPr>
          <w:p w14:paraId="463349DC">
            <w:pPr>
              <w:spacing w:before="240" w:line="276" w:lineRule="auto"/>
              <w:contextualSpacing/>
              <w:jc w:val="center"/>
              <w:rPr>
                <w:bCs/>
                <w:lang w:val="ru-RU"/>
              </w:rPr>
            </w:pPr>
            <w:r>
              <w:rPr>
                <w:bCs/>
                <w:lang w:val="ru-RU"/>
              </w:rPr>
              <w:t>7</w:t>
            </w:r>
          </w:p>
        </w:tc>
      </w:tr>
      <w:tr w14:paraId="05A8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696" w:type="dxa"/>
            <w:vAlign w:val="center"/>
          </w:tcPr>
          <w:p w14:paraId="3A714357">
            <w:pPr>
              <w:spacing w:before="240" w:line="276" w:lineRule="auto"/>
              <w:contextualSpacing/>
              <w:jc w:val="center"/>
              <w:rPr>
                <w:bCs/>
                <w:lang w:val="ru-RU"/>
              </w:rPr>
            </w:pPr>
            <w:r>
              <w:rPr>
                <w:bCs/>
                <w:lang w:val="ru-RU"/>
              </w:rPr>
              <w:t>4</w:t>
            </w:r>
          </w:p>
        </w:tc>
        <w:tc>
          <w:tcPr>
            <w:tcW w:w="5636" w:type="dxa"/>
          </w:tcPr>
          <w:p w14:paraId="26312E9C">
            <w:pPr>
              <w:contextualSpacing/>
              <w:rPr>
                <w:bCs/>
                <w:lang w:val="ky-KG"/>
              </w:rPr>
            </w:pPr>
            <w:r>
              <w:rPr>
                <w:rFonts w:eastAsia="SimSun"/>
                <w:bCs/>
              </w:rPr>
              <w:t>Профессиональный газовый мангал</w:t>
            </w:r>
          </w:p>
        </w:tc>
        <w:tc>
          <w:tcPr>
            <w:tcW w:w="1517" w:type="dxa"/>
            <w:vAlign w:val="center"/>
          </w:tcPr>
          <w:p w14:paraId="47D5CD85">
            <w:pPr>
              <w:spacing w:before="240" w:line="276" w:lineRule="auto"/>
              <w:contextualSpacing/>
              <w:jc w:val="center"/>
              <w:rPr>
                <w:bCs/>
                <w:lang w:val="ru-RU"/>
              </w:rPr>
            </w:pPr>
            <w:r>
              <w:rPr>
                <w:bCs/>
                <w:lang w:val="ru-RU"/>
              </w:rPr>
              <w:t>шт</w:t>
            </w:r>
          </w:p>
        </w:tc>
        <w:tc>
          <w:tcPr>
            <w:tcW w:w="1667" w:type="dxa"/>
            <w:vAlign w:val="center"/>
          </w:tcPr>
          <w:p w14:paraId="703A3FA7">
            <w:pPr>
              <w:spacing w:before="240" w:line="276" w:lineRule="auto"/>
              <w:contextualSpacing/>
              <w:jc w:val="center"/>
              <w:rPr>
                <w:bCs/>
                <w:lang w:val="ru-RU"/>
              </w:rPr>
            </w:pPr>
            <w:r>
              <w:rPr>
                <w:bCs/>
                <w:lang w:val="ru-RU"/>
              </w:rPr>
              <w:t>1</w:t>
            </w:r>
          </w:p>
        </w:tc>
      </w:tr>
      <w:bookmarkEnd w:id="1"/>
    </w:tbl>
    <w:p w14:paraId="3D03F79E">
      <w:pPr>
        <w:spacing w:line="276" w:lineRule="auto"/>
        <w:ind w:firstLine="720"/>
        <w:contextualSpacing/>
        <w:jc w:val="both"/>
        <w:rPr>
          <w:i/>
          <w:iCs/>
          <w:lang w:val="ru-RU"/>
        </w:rPr>
      </w:pPr>
      <w:r>
        <w:rPr>
          <w:i/>
          <w:iCs/>
          <w:lang w:val="ru-RU"/>
        </w:rPr>
        <w:t>Информация о технической спецификации и требуемом количестве прилагается (Приложение А).</w:t>
      </w:r>
    </w:p>
    <w:p w14:paraId="5C3F3D11">
      <w:pPr>
        <w:spacing w:line="276" w:lineRule="auto"/>
        <w:ind w:firstLine="720"/>
        <w:contextualSpacing/>
        <w:jc w:val="both"/>
        <w:rPr>
          <w:i/>
          <w:iCs/>
          <w:lang w:val="ru-RU"/>
        </w:rPr>
      </w:pPr>
    </w:p>
    <w:p w14:paraId="011698C2">
      <w:pPr>
        <w:pStyle w:val="29"/>
        <w:numPr>
          <w:ilvl w:val="0"/>
          <w:numId w:val="2"/>
        </w:numPr>
        <w:spacing w:after="0"/>
        <w:jc w:val="both"/>
        <w:rPr>
          <w:sz w:val="24"/>
          <w:szCs w:val="24"/>
        </w:rPr>
      </w:pPr>
      <w:r>
        <w:rPr>
          <w:sz w:val="24"/>
          <w:szCs w:val="24"/>
        </w:rPr>
        <w:t>Вы должны указать цены на указанное в запросе позиции. Оценка названных цен будет проводиться по всем позициям сразу, а контракт будет присужден фирме, предложившей наименьшую оценочную стоимость по всем позициям и соответствующую всем требованиям технической спецификации. Альтернативные предложения не принимаются.</w:t>
      </w:r>
    </w:p>
    <w:p w14:paraId="5AEF0D50">
      <w:pPr>
        <w:pStyle w:val="29"/>
        <w:spacing w:after="0"/>
        <w:ind w:left="360"/>
        <w:jc w:val="both"/>
        <w:rPr>
          <w:sz w:val="24"/>
          <w:szCs w:val="24"/>
        </w:rPr>
      </w:pPr>
    </w:p>
    <w:p w14:paraId="1FDE90CE">
      <w:pPr>
        <w:pStyle w:val="29"/>
        <w:numPr>
          <w:ilvl w:val="0"/>
          <w:numId w:val="2"/>
        </w:numPr>
        <w:spacing w:after="0"/>
        <w:contextualSpacing/>
        <w:jc w:val="both"/>
        <w:rPr>
          <w:b/>
        </w:rPr>
      </w:pPr>
      <w:r>
        <w:rPr>
          <w:sz w:val="24"/>
          <w:szCs w:val="24"/>
        </w:rPr>
        <w:t>Вам следует представить ценовые. котировки/тендерные предложения с Формой Предложения (</w:t>
      </w:r>
      <w:r>
        <w:rPr>
          <w:b/>
          <w:bCs/>
          <w:i/>
          <w:iCs/>
          <w:sz w:val="24"/>
          <w:szCs w:val="24"/>
        </w:rPr>
        <w:t xml:space="preserve">Приложение Б). </w:t>
      </w:r>
      <w:r>
        <w:rPr>
          <w:sz w:val="24"/>
          <w:szCs w:val="24"/>
        </w:rPr>
        <w:t>которая должна быть подписана, скреплена печатью</w:t>
      </w:r>
      <w:r>
        <w:rPr>
          <w:b/>
          <w:sz w:val="24"/>
          <w:szCs w:val="24"/>
        </w:rPr>
        <w:t xml:space="preserve">, отсканирована и направлена </w:t>
      </w:r>
      <w:r>
        <w:rPr>
          <w:sz w:val="24"/>
          <w:szCs w:val="24"/>
        </w:rPr>
        <w:t>на следующие электронные адреса</w:t>
      </w:r>
      <w:r>
        <w:rPr>
          <w:b/>
          <w:iCs/>
          <w:spacing w:val="-3"/>
          <w:sz w:val="24"/>
          <w:szCs w:val="24"/>
        </w:rPr>
        <w:t xml:space="preserve">; </w:t>
      </w:r>
      <w:r>
        <w:fldChar w:fldCharType="begin"/>
      </w:r>
      <w:r>
        <w:instrText xml:space="preserve"> HYPERLINK "mailto:tortkazan80@gmail.com" </w:instrText>
      </w:r>
      <w:r>
        <w:fldChar w:fldCharType="separate"/>
      </w:r>
      <w:r>
        <w:rPr>
          <w:rStyle w:val="13"/>
          <w:b/>
          <w:iCs/>
          <w:spacing w:val="-3"/>
          <w:sz w:val="24"/>
          <w:szCs w:val="24"/>
        </w:rPr>
        <w:t>tortkazan80@gmail.co</w:t>
      </w:r>
      <w:r>
        <w:rPr>
          <w:rStyle w:val="13"/>
          <w:b/>
          <w:iCs/>
          <w:spacing w:val="-3"/>
          <w:sz w:val="24"/>
          <w:szCs w:val="24"/>
          <w:lang w:val="en-US"/>
        </w:rPr>
        <w:t>m</w:t>
      </w:r>
      <w:r>
        <w:rPr>
          <w:rStyle w:val="13"/>
          <w:b/>
          <w:iCs/>
          <w:spacing w:val="-3"/>
          <w:sz w:val="24"/>
          <w:szCs w:val="24"/>
          <w:lang w:val="en-US"/>
        </w:rPr>
        <w:fldChar w:fldCharType="end"/>
      </w:r>
      <w:r>
        <w:rPr>
          <w:b/>
          <w:sz w:val="24"/>
        </w:rPr>
        <w:t xml:space="preserve">, </w:t>
      </w:r>
      <w:r>
        <w:fldChar w:fldCharType="begin"/>
      </w:r>
      <w:r>
        <w:instrText xml:space="preserve"> HYPERLINK "mailto:pmg@aris.kg" </w:instrText>
      </w:r>
      <w:r>
        <w:fldChar w:fldCharType="separate"/>
      </w:r>
      <w:r>
        <w:rPr>
          <w:rStyle w:val="13"/>
          <w:b/>
          <w:sz w:val="24"/>
          <w:lang w:val="en-US"/>
        </w:rPr>
        <w:t>pmg</w:t>
      </w:r>
      <w:r>
        <w:rPr>
          <w:rStyle w:val="13"/>
          <w:b/>
          <w:sz w:val="24"/>
        </w:rPr>
        <w:t>@</w:t>
      </w:r>
      <w:r>
        <w:rPr>
          <w:rStyle w:val="13"/>
          <w:b/>
          <w:sz w:val="24"/>
          <w:lang w:val="en-US"/>
        </w:rPr>
        <w:t>aris</w:t>
      </w:r>
      <w:r>
        <w:rPr>
          <w:rStyle w:val="13"/>
          <w:b/>
          <w:sz w:val="24"/>
        </w:rPr>
        <w:t>.</w:t>
      </w:r>
      <w:r>
        <w:rPr>
          <w:rStyle w:val="13"/>
          <w:b/>
          <w:sz w:val="24"/>
          <w:lang w:val="en-US"/>
        </w:rPr>
        <w:t>kg</w:t>
      </w:r>
      <w:r>
        <w:rPr>
          <w:rStyle w:val="13"/>
          <w:b/>
          <w:sz w:val="24"/>
          <w:lang w:val="en-US"/>
        </w:rPr>
        <w:fldChar w:fldCharType="end"/>
      </w:r>
      <w:r>
        <w:rPr>
          <w:b/>
          <w:sz w:val="24"/>
        </w:rPr>
        <w:t xml:space="preserve"> </w:t>
      </w:r>
    </w:p>
    <w:p w14:paraId="3865EC81">
      <w:pPr>
        <w:pStyle w:val="29"/>
        <w:tabs>
          <w:tab w:val="left" w:pos="1740"/>
          <w:tab w:val="left" w:pos="3570"/>
        </w:tabs>
        <w:spacing w:after="0"/>
        <w:jc w:val="both"/>
        <w:rPr>
          <w:sz w:val="24"/>
          <w:szCs w:val="24"/>
        </w:rPr>
      </w:pPr>
      <w:r>
        <w:rPr>
          <w:sz w:val="24"/>
          <w:szCs w:val="24"/>
        </w:rPr>
        <w:tab/>
      </w:r>
      <w:r>
        <w:rPr>
          <w:sz w:val="24"/>
          <w:szCs w:val="24"/>
        </w:rPr>
        <w:tab/>
      </w:r>
    </w:p>
    <w:p w14:paraId="392ED726">
      <w:pPr>
        <w:pStyle w:val="29"/>
        <w:spacing w:after="0"/>
        <w:jc w:val="both"/>
        <w:rPr>
          <w:rStyle w:val="13"/>
          <w:rFonts w:eastAsia="MS Mincho"/>
          <w:kern w:val="2"/>
          <w:sz w:val="24"/>
          <w:szCs w:val="24"/>
        </w:rPr>
      </w:pPr>
      <w:r>
        <w:rPr>
          <w:b/>
          <w:i/>
          <w:sz w:val="24"/>
          <w:szCs w:val="24"/>
          <w:u w:val="single"/>
        </w:rPr>
        <w:t>При отправке тендерного предложения по электронной почте, участник торгов/поставщик должен обязательно указать два электронных адреса, согласно пункту 3.</w:t>
      </w:r>
    </w:p>
    <w:p w14:paraId="55008ED1">
      <w:pPr>
        <w:pStyle w:val="17"/>
        <w:ind w:left="360"/>
        <w:contextualSpacing/>
        <w:rPr>
          <w:lang w:val="ru-RU"/>
        </w:rPr>
      </w:pPr>
    </w:p>
    <w:p w14:paraId="1173C2BE">
      <w:pPr>
        <w:pStyle w:val="17"/>
        <w:numPr>
          <w:ilvl w:val="0"/>
          <w:numId w:val="2"/>
        </w:numPr>
        <w:contextualSpacing/>
        <w:rPr>
          <w:lang w:val="ru-RU"/>
        </w:rPr>
      </w:pPr>
      <w:r>
        <w:rPr>
          <w:lang w:val="ru-RU"/>
        </w:rPr>
        <w:t xml:space="preserve">Ваша котировка должна быть на русском языке. </w:t>
      </w:r>
    </w:p>
    <w:p w14:paraId="2102AC32">
      <w:pPr>
        <w:pStyle w:val="17"/>
        <w:contextualSpacing/>
        <w:rPr>
          <w:lang w:val="ru-RU"/>
        </w:rPr>
      </w:pPr>
    </w:p>
    <w:p w14:paraId="7E94C457">
      <w:pPr>
        <w:pStyle w:val="17"/>
        <w:numPr>
          <w:ilvl w:val="0"/>
          <w:numId w:val="2"/>
        </w:numPr>
        <w:contextualSpacing/>
        <w:rPr>
          <w:lang w:val="ru-RU"/>
        </w:rPr>
      </w:pPr>
      <w:r>
        <w:rPr>
          <w:lang w:val="ru-RU"/>
        </w:rPr>
        <w:t xml:space="preserve">Крайний срок предоставления Вашего ценового предложения (котировки) по </w:t>
      </w:r>
      <w:r>
        <w:rPr>
          <w:b/>
          <w:lang w:val="ru-RU"/>
        </w:rPr>
        <w:t>электронным адресам</w:t>
      </w:r>
      <w:r>
        <w:rPr>
          <w:lang w:val="ru-RU"/>
        </w:rPr>
        <w:t xml:space="preserve"> указанному в пункте 3, истекает</w:t>
      </w:r>
      <w:r>
        <w:rPr>
          <w:b/>
          <w:lang w:val="ru-RU"/>
        </w:rPr>
        <w:t xml:space="preserve"> «06» мая 2026г.</w:t>
      </w:r>
      <w:r>
        <w:rPr>
          <w:b/>
          <w:bCs/>
          <w:lang w:val="ru-RU"/>
        </w:rPr>
        <w:t>, в 14-00 часов местного времени</w:t>
      </w:r>
      <w:r>
        <w:rPr>
          <w:lang w:val="ru-RU"/>
        </w:rPr>
        <w:t>, тендерные предложения/котировки, поступившие после истечения срока подачи тендерных предложений/котировок, не будут рассматриваться.</w:t>
      </w:r>
    </w:p>
    <w:p w14:paraId="2C3D3711">
      <w:pPr>
        <w:pStyle w:val="38"/>
        <w:rPr>
          <w:lang w:val="ru-RU"/>
        </w:rPr>
      </w:pPr>
    </w:p>
    <w:p w14:paraId="43764B96">
      <w:pPr>
        <w:pStyle w:val="17"/>
        <w:numPr>
          <w:ilvl w:val="0"/>
          <w:numId w:val="2"/>
        </w:numPr>
        <w:contextualSpacing/>
        <w:rPr>
          <w:b/>
          <w:lang w:val="ru-RU"/>
        </w:rPr>
      </w:pPr>
      <w:r>
        <w:rPr>
          <w:lang w:val="ru-RU"/>
        </w:rPr>
        <w:t xml:space="preserve">Ценовые. котировки/тендерные предложения будут зафиксированы в присутствии представителей участников торгов/поставщиков, которые пожелают присутствовать лично по адресу: </w:t>
      </w:r>
      <w:r>
        <w:rPr>
          <w:rFonts w:eastAsia="SimSun"/>
          <w:b/>
          <w:bCs/>
          <w:lang w:val="ru-RU"/>
        </w:rPr>
        <w:t xml:space="preserve">Кыргызская Республика, г. Ош, ул. </w:t>
      </w:r>
      <w:r>
        <w:rPr>
          <w:rFonts w:eastAsia="SimSun"/>
          <w:b/>
          <w:bCs/>
        </w:rPr>
        <w:t>Бекмамата Осмонова, № 10/1</w:t>
      </w:r>
      <w:r>
        <w:rPr>
          <w:b/>
          <w:lang w:val="ru-RU"/>
        </w:rPr>
        <w:t>, «06» мая 2026г., в 14-00</w:t>
      </w:r>
    </w:p>
    <w:p w14:paraId="2C3E8D1D">
      <w:pPr>
        <w:pStyle w:val="38"/>
        <w:rPr>
          <w:lang w:val="ru-RU"/>
        </w:rPr>
      </w:pPr>
    </w:p>
    <w:p w14:paraId="76B86048">
      <w:pPr>
        <w:pStyle w:val="17"/>
        <w:numPr>
          <w:ilvl w:val="0"/>
          <w:numId w:val="2"/>
        </w:numPr>
        <w:contextualSpacing/>
        <w:rPr>
          <w:lang w:val="ru-RU"/>
        </w:rPr>
      </w:pPr>
      <w:r>
        <w:rPr>
          <w:lang w:val="ru-RU"/>
        </w:rPr>
        <w:t>Ваша котировка должна сопровождаться соответствующей технической документацией и каталогом/ми (при возможности) и другими печатными материалами, и соответствующей информацией по указанному наименованию товара, по которому предложена цена, включая наименования и адреса фирм,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w:t>
      </w:r>
      <w:r>
        <w:rPr>
          <w:b/>
          <w:bCs/>
          <w:i/>
          <w:iCs/>
          <w:lang w:val="ru-RU"/>
        </w:rPr>
        <w:t>Приложение А</w:t>
      </w:r>
      <w:r>
        <w:rPr>
          <w:lang w:val="ru-RU"/>
        </w:rPr>
        <w:t>). Прилагаемые сроки и условия поставки являются неотъемлемой частью контракта.</w:t>
      </w:r>
    </w:p>
    <w:p w14:paraId="1A52A6B1">
      <w:pPr>
        <w:pStyle w:val="38"/>
        <w:rPr>
          <w:lang w:val="ru-RU"/>
        </w:rPr>
      </w:pPr>
    </w:p>
    <w:p w14:paraId="6FD18394">
      <w:pPr>
        <w:pStyle w:val="38"/>
        <w:rPr>
          <w:lang w:val="ru-RU"/>
        </w:rPr>
      </w:pPr>
    </w:p>
    <w:p w14:paraId="53B1B635">
      <w:pPr>
        <w:pStyle w:val="28"/>
        <w:numPr>
          <w:ilvl w:val="0"/>
          <w:numId w:val="2"/>
        </w:numPr>
        <w:rPr>
          <w:lang w:val="ru-RU"/>
        </w:rPr>
      </w:pPr>
      <w:r>
        <w:rPr>
          <w:lang w:val="ru-RU"/>
        </w:rPr>
        <w:t>ЦЕНЫ</w:t>
      </w:r>
      <w:r>
        <w:rPr>
          <w:u w:val="single"/>
          <w:lang w:val="ru-RU"/>
        </w:rPr>
        <w:t>:</w:t>
      </w:r>
      <w:r>
        <w:rPr>
          <w:lang w:val="ru-RU"/>
        </w:rPr>
        <w:t xml:space="preserve"> Цены должны быть заявлены в кыргызских сомах на общую сумму в конечном пункте назначения по адресу:</w:t>
      </w:r>
      <w:r>
        <w:rPr>
          <w:b/>
          <w:spacing w:val="-3"/>
          <w:lang w:val="ru-RU"/>
        </w:rPr>
        <w:t xml:space="preserve"> </w:t>
      </w:r>
      <w:r>
        <w:rPr>
          <w:rFonts w:eastAsia="SimSun"/>
          <w:b/>
          <w:bCs/>
          <w:szCs w:val="24"/>
          <w:lang w:val="ru-RU"/>
        </w:rPr>
        <w:t>Кыргызская Республика, г. Ош, ул. Бекмамата Осмонова, № 10/1</w:t>
      </w:r>
    </w:p>
    <w:p w14:paraId="63A7E964">
      <w:pPr>
        <w:tabs>
          <w:tab w:val="left" w:pos="720"/>
          <w:tab w:val="left" w:pos="1008"/>
          <w:tab w:val="left" w:pos="1440"/>
        </w:tabs>
        <w:suppressAutoHyphens/>
        <w:ind w:firstLine="120" w:firstLineChars="50"/>
        <w:contextualSpacing/>
        <w:jc w:val="both"/>
        <w:rPr>
          <w:lang w:val="ru-RU"/>
        </w:rPr>
      </w:pPr>
      <w:r>
        <w:rPr>
          <w:u w:val="single"/>
          <w:lang w:val="ru-RU"/>
        </w:rPr>
        <w:t>Предполагаемые цены должны включать в себя</w:t>
      </w:r>
      <w:r>
        <w:rPr>
          <w:lang w:val="ru-RU"/>
        </w:rPr>
        <w:t xml:space="preserve">: Все таможенные, импортные пошлины и любые налоги или выплаты, применимые при импорте товаров из зарубежных стран в Кыргызскую Республику, а также налоги, налагаемые на товары, находящиеся на территории Кыргызской Республики. </w:t>
      </w:r>
    </w:p>
    <w:p w14:paraId="3BB18EE0">
      <w:pPr>
        <w:ind w:left="720"/>
        <w:contextualSpacing/>
        <w:rPr>
          <w:lang w:val="ru-RU"/>
        </w:rPr>
      </w:pPr>
    </w:p>
    <w:p w14:paraId="25C2F048">
      <w:pPr>
        <w:ind w:left="567" w:hanging="567"/>
        <w:contextualSpacing/>
        <w:jc w:val="both"/>
        <w:rPr>
          <w:u w:val="single"/>
          <w:lang w:val="ru-RU"/>
        </w:rPr>
      </w:pPr>
      <w:bookmarkStart w:id="2" w:name="_Hlk82448060"/>
      <w:r>
        <w:rPr>
          <w:lang w:val="ru-RU"/>
        </w:rPr>
        <w:t>(</w:t>
      </w:r>
      <w:r>
        <w:t>ii</w:t>
      </w:r>
      <w:r>
        <w:rPr>
          <w:lang w:val="ru-RU"/>
        </w:rPr>
        <w:t>)</w:t>
      </w:r>
      <w:r>
        <w:rPr>
          <w:lang w:val="ru-RU"/>
        </w:rPr>
        <w:tab/>
      </w:r>
      <w:r>
        <w:rPr>
          <w:u w:val="single"/>
          <w:lang w:val="ru-RU"/>
        </w:rPr>
        <w:t>ОЦЕНКА ЦЕНОВЫХ КОТИРОВОК</w:t>
      </w:r>
      <w:r>
        <w:rPr>
          <w:lang w:val="ru-RU"/>
        </w:rPr>
        <w:t xml:space="preserve">: Котировки, существенно отвечающие требованиям технических спецификаций, будут оцениваться сравнением общей цены в конечном пункте назначения согласно п.2 выше. </w:t>
      </w:r>
    </w:p>
    <w:p w14:paraId="4288C9E1">
      <w:pPr>
        <w:ind w:left="567"/>
        <w:contextualSpacing/>
        <w:jc w:val="both"/>
        <w:rPr>
          <w:lang w:val="ru-RU"/>
        </w:rPr>
      </w:pPr>
      <w:r>
        <w:rPr>
          <w:lang w:val="ru-RU"/>
        </w:rPr>
        <w:t xml:space="preserve">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 </w:t>
      </w:r>
    </w:p>
    <w:p w14:paraId="14B5A0C5">
      <w:pPr>
        <w:ind w:left="993" w:hanging="426"/>
        <w:contextualSpacing/>
        <w:jc w:val="both"/>
        <w:rPr>
          <w:lang w:val="ru-RU"/>
        </w:rPr>
      </w:pPr>
      <w:r>
        <w:rPr>
          <w:lang w:val="ru-RU"/>
        </w:rPr>
        <w:t xml:space="preserve">(а) в случае расхождения между суммами, прописанными цифрами и словами, определяющей будет сумма, прописанная словами. </w:t>
      </w:r>
    </w:p>
    <w:p w14:paraId="16E56BDA">
      <w:pPr>
        <w:ind w:left="993" w:hanging="426"/>
        <w:contextualSpacing/>
        <w:jc w:val="both"/>
        <w:rPr>
          <w:lang w:val="ru-RU"/>
        </w:rPr>
      </w:pPr>
      <w:r>
        <w:rPr>
          <w:lang w:val="ru-RU"/>
        </w:rPr>
        <w:t xml:space="preserve">(б) в случае расхождения между единичной стоимостью и общей суммой, полученной путем умножения единичной стоимости на количество, определяющей будет указанная единичная стоимость. </w:t>
      </w:r>
    </w:p>
    <w:p w14:paraId="7A674C34">
      <w:pPr>
        <w:ind w:left="993" w:hanging="426"/>
        <w:contextualSpacing/>
        <w:jc w:val="both"/>
        <w:rPr>
          <w:lang w:val="ru-RU"/>
        </w:rPr>
      </w:pPr>
      <w:r>
        <w:rPr>
          <w:lang w:val="ru-RU"/>
        </w:rPr>
        <w:t xml:space="preserve">(в) если Поставщик откажется принимать исправление, его котировка будет отклонена. </w:t>
      </w:r>
    </w:p>
    <w:p w14:paraId="67E36811">
      <w:pPr>
        <w:ind w:left="567" w:hanging="567"/>
        <w:contextualSpacing/>
        <w:rPr>
          <w:lang w:val="ru-RU"/>
        </w:rPr>
      </w:pPr>
    </w:p>
    <w:p w14:paraId="1A1C33B6">
      <w:pPr>
        <w:ind w:left="567" w:hanging="567"/>
        <w:contextualSpacing/>
        <w:jc w:val="both"/>
        <w:rPr>
          <w:lang w:val="ru-RU"/>
        </w:rPr>
      </w:pPr>
      <w:r>
        <w:rPr>
          <w:lang w:val="ru-RU"/>
        </w:rPr>
        <w:t>(</w:t>
      </w:r>
      <w:r>
        <w:t>iii</w:t>
      </w:r>
      <w:r>
        <w:rPr>
          <w:lang w:val="ru-RU"/>
        </w:rPr>
        <w:t xml:space="preserve">) </w:t>
      </w:r>
      <w:r>
        <w:rPr>
          <w:u w:val="single"/>
          <w:lang w:val="ru-RU"/>
        </w:rPr>
        <w:t>ПРИСУЖДЕНИЕ КОНТРАКТА:</w:t>
      </w:r>
      <w:r>
        <w:rPr>
          <w:lang w:val="ru-RU"/>
        </w:rPr>
        <w:t xml:space="preserve"> Контракт будет присужден участнику, соответствующему требуемым стандартам технической спецификаций и предложившему наименьшую оцененную стоимость. Успешный участник торгов подпишет Контракт в соответствии с прилагаемой формой контракта и сроками, и условиями поставки (</w:t>
      </w:r>
      <w:r>
        <w:rPr>
          <w:b/>
          <w:bCs/>
          <w:i/>
          <w:iCs/>
          <w:lang w:val="ru-RU"/>
        </w:rPr>
        <w:t>Приложение А</w:t>
      </w:r>
      <w:r>
        <w:rPr>
          <w:lang w:val="ru-RU"/>
        </w:rPr>
        <w:t>).</w:t>
      </w:r>
    </w:p>
    <w:p w14:paraId="46F8974C">
      <w:pPr>
        <w:ind w:left="567" w:hanging="567"/>
        <w:contextualSpacing/>
        <w:rPr>
          <w:lang w:val="ru-RU"/>
        </w:rPr>
      </w:pPr>
    </w:p>
    <w:p w14:paraId="49D111B4">
      <w:pPr>
        <w:ind w:left="567" w:hanging="567"/>
        <w:contextualSpacing/>
        <w:jc w:val="both"/>
        <w:rPr>
          <w:lang w:val="ru-RU"/>
        </w:rPr>
      </w:pPr>
      <w:r>
        <w:rPr>
          <w:lang w:val="ru-RU"/>
        </w:rPr>
        <w:t>(</w:t>
      </w:r>
      <w:r>
        <w:t>iv</w:t>
      </w:r>
      <w:r>
        <w:rPr>
          <w:lang w:val="ru-RU"/>
        </w:rPr>
        <w:t xml:space="preserve">) </w:t>
      </w:r>
      <w:r>
        <w:rPr>
          <w:lang w:val="ru-RU"/>
        </w:rPr>
        <w:tab/>
      </w:r>
      <w:r>
        <w:rPr>
          <w:u w:val="single"/>
          <w:lang w:val="ru-RU"/>
        </w:rPr>
        <w:t>СРОК ДЕЙСТВИЯ ПРЕДЛОЖЕНИЯ:</w:t>
      </w:r>
      <w:r>
        <w:rPr>
          <w:lang w:val="ru-RU"/>
        </w:rPr>
        <w:t xml:space="preserve"> Ваши Котировка должна быть действительна в течение периода 60 (шестьдесят) дней со дня крайнего срока подачи котировок, указанной в пункте 5 данного запроса ценовых котировок.  </w:t>
      </w:r>
    </w:p>
    <w:p w14:paraId="74A11116">
      <w:pPr>
        <w:contextualSpacing/>
        <w:rPr>
          <w:lang w:val="ru-RU"/>
        </w:rPr>
      </w:pPr>
    </w:p>
    <w:p w14:paraId="62196C01">
      <w:pPr>
        <w:pStyle w:val="38"/>
        <w:ind w:left="708"/>
        <w:jc w:val="both"/>
        <w:rPr>
          <w:u w:val="single"/>
          <w:lang w:val="ru-RU"/>
        </w:rPr>
      </w:pPr>
      <w:r>
        <w:rPr>
          <w:u w:val="single"/>
          <w:lang w:val="ru-RU"/>
        </w:rPr>
        <w:t xml:space="preserve">Поставщик, который отозвал свою котировку во время срока действия котировки и/или отказался принять присуждение контракта или по каким-либо причинам задерживает процесс подписания контракта, в случае присуждения, автоматически не допускается </w:t>
      </w:r>
    </w:p>
    <w:p w14:paraId="04515BAD">
      <w:pPr>
        <w:pStyle w:val="38"/>
        <w:ind w:left="708"/>
        <w:jc w:val="both"/>
        <w:rPr>
          <w:u w:val="single"/>
          <w:lang w:val="ru-RU"/>
        </w:rPr>
      </w:pPr>
      <w:r>
        <w:rPr>
          <w:u w:val="single"/>
          <w:lang w:val="ru-RU"/>
        </w:rPr>
        <w:t>к участию в тендерах, сроком на два года.</w:t>
      </w:r>
    </w:p>
    <w:p w14:paraId="4036B23F">
      <w:pPr>
        <w:pStyle w:val="29"/>
        <w:numPr>
          <w:ilvl w:val="0"/>
          <w:numId w:val="2"/>
        </w:numPr>
        <w:contextualSpacing/>
        <w:jc w:val="both"/>
        <w:rPr>
          <w:sz w:val="24"/>
          <w:szCs w:val="24"/>
        </w:rPr>
      </w:pPr>
      <w:r>
        <w:rPr>
          <w:sz w:val="24"/>
          <w:szCs w:val="24"/>
        </w:rPr>
        <w:t>Дальнейшая информация может быть получена по следующему адресу:</w:t>
      </w:r>
    </w:p>
    <w:p w14:paraId="0D60EFC9">
      <w:pPr>
        <w:pStyle w:val="29"/>
        <w:contextualSpacing/>
        <w:jc w:val="both"/>
        <w:rPr>
          <w:b/>
          <w:spacing w:val="-3"/>
          <w:sz w:val="24"/>
          <w:szCs w:val="24"/>
          <w:lang w:eastAsia="en-US"/>
        </w:rPr>
      </w:pPr>
      <w:r>
        <w:rPr>
          <w:rFonts w:eastAsia="SimSun"/>
          <w:b/>
          <w:bCs/>
          <w:sz w:val="24"/>
          <w:szCs w:val="24"/>
        </w:rPr>
        <w:t>Кыргызская Республика, г. Ош, ул. Бекмамата Осмонова, № 10/1</w:t>
      </w:r>
      <w:r>
        <w:rPr>
          <w:b/>
          <w:sz w:val="24"/>
          <w:szCs w:val="24"/>
        </w:rPr>
        <w:t xml:space="preserve">, </w:t>
      </w:r>
      <w:r>
        <w:rPr>
          <w:b/>
          <w:spacing w:val="-3"/>
          <w:sz w:val="24"/>
          <w:szCs w:val="24"/>
          <w:lang w:eastAsia="en-US"/>
        </w:rPr>
        <w:t>тел: +996</w:t>
      </w:r>
      <w:r>
        <w:rPr>
          <w:b/>
          <w:spacing w:val="-3"/>
          <w:sz w:val="24"/>
          <w:szCs w:val="24"/>
          <w:lang w:val="ky-KG" w:eastAsia="en-US"/>
        </w:rPr>
        <w:t> </w:t>
      </w:r>
      <w:r>
        <w:rPr>
          <w:b/>
          <w:spacing w:val="-3"/>
          <w:sz w:val="24"/>
          <w:szCs w:val="24"/>
          <w:lang w:eastAsia="en-US"/>
        </w:rPr>
        <w:t>551077361</w:t>
      </w:r>
    </w:p>
    <w:p w14:paraId="5ADB9DC7">
      <w:pPr>
        <w:pStyle w:val="28"/>
        <w:spacing w:before="0" w:after="0" w:line="258" w:lineRule="atLeast"/>
        <w:rPr>
          <w:b/>
        </w:rPr>
      </w:pPr>
      <w:r>
        <w:rPr>
          <w:b/>
          <w:spacing w:val="-3"/>
          <w:szCs w:val="24"/>
          <w:lang w:eastAsia="en-US"/>
        </w:rPr>
        <w:t>e-mail:</w:t>
      </w:r>
      <w:r>
        <w:rPr>
          <w:bCs/>
          <w:spacing w:val="-3"/>
          <w:szCs w:val="24"/>
          <w:lang w:eastAsia="en-US"/>
        </w:rPr>
        <w:t xml:space="preserve"> </w:t>
      </w:r>
      <w:r>
        <w:fldChar w:fldCharType="begin"/>
      </w:r>
      <w:r>
        <w:instrText xml:space="preserve"> HYPERLINK "mailto:tortkazan80@gmail.com" </w:instrText>
      </w:r>
      <w:r>
        <w:fldChar w:fldCharType="separate"/>
      </w:r>
      <w:r>
        <w:rPr>
          <w:rStyle w:val="13"/>
          <w:b/>
        </w:rPr>
        <w:t>tortkazan80@gmail.com</w:t>
      </w:r>
      <w:r>
        <w:rPr>
          <w:rStyle w:val="13"/>
          <w:b/>
        </w:rPr>
        <w:fldChar w:fldCharType="end"/>
      </w:r>
      <w:r>
        <w:rPr>
          <w:b/>
        </w:rPr>
        <w:t>,</w:t>
      </w:r>
      <w:r>
        <w:rPr>
          <w:b/>
          <w:lang w:val="ky-KG"/>
        </w:rPr>
        <w:t xml:space="preserve"> </w:t>
      </w:r>
      <w:r>
        <w:rPr>
          <w:b/>
        </w:rPr>
        <w:t xml:space="preserve"> </w:t>
      </w:r>
      <w:r>
        <w:fldChar w:fldCharType="begin"/>
      </w:r>
      <w:r>
        <w:instrText xml:space="preserve"> HYPERLINK "mailto:pmg@aris.kg" </w:instrText>
      </w:r>
      <w:r>
        <w:fldChar w:fldCharType="separate"/>
      </w:r>
      <w:r>
        <w:rPr>
          <w:rStyle w:val="13"/>
          <w:b/>
        </w:rPr>
        <w:t>pmg@aris.kg</w:t>
      </w:r>
      <w:r>
        <w:rPr>
          <w:rStyle w:val="13"/>
          <w:b/>
        </w:rPr>
        <w:fldChar w:fldCharType="end"/>
      </w:r>
      <w:r>
        <w:rPr>
          <w:b/>
        </w:rPr>
        <w:t xml:space="preserve"> </w:t>
      </w:r>
    </w:p>
    <w:p w14:paraId="3640B821">
      <w:pPr>
        <w:pStyle w:val="29"/>
        <w:spacing w:after="0"/>
        <w:contextualSpacing/>
        <w:jc w:val="both"/>
        <w:rPr>
          <w:b/>
          <w:sz w:val="24"/>
          <w:lang w:val="en-US"/>
        </w:rPr>
      </w:pPr>
    </w:p>
    <w:p w14:paraId="6BE4A5D9">
      <w:pPr>
        <w:pStyle w:val="29"/>
        <w:numPr>
          <w:ilvl w:val="0"/>
          <w:numId w:val="2"/>
        </w:numPr>
        <w:spacing w:after="0"/>
        <w:contextualSpacing/>
        <w:jc w:val="both"/>
        <w:rPr>
          <w:b/>
          <w:sz w:val="24"/>
          <w:szCs w:val="24"/>
        </w:rPr>
      </w:pPr>
      <w:r>
        <w:rPr>
          <w:b/>
          <w:sz w:val="24"/>
          <w:szCs w:val="24"/>
        </w:rPr>
        <w:t>Проверки и аудит</w:t>
      </w:r>
    </w:p>
    <w:p w14:paraId="3DBB6A32">
      <w:pPr>
        <w:pStyle w:val="38"/>
        <w:numPr>
          <w:ilvl w:val="1"/>
          <w:numId w:val="3"/>
        </w:numPr>
        <w:spacing w:after="120"/>
        <w:ind w:left="709" w:hanging="425"/>
        <w:contextualSpacing/>
        <w:rPr>
          <w:lang w:val="ru-RU"/>
        </w:rPr>
      </w:pPr>
      <w:r>
        <w:rPr>
          <w:lang w:val="ru-RU"/>
        </w:rPr>
        <w:t xml:space="preserve"> Поставщик должен исполнить все указания Покупателя, соответствующие применимым законам места назначения. </w:t>
      </w:r>
    </w:p>
    <w:p w14:paraId="59E5DD73">
      <w:pPr>
        <w:pStyle w:val="38"/>
        <w:numPr>
          <w:ilvl w:val="1"/>
          <w:numId w:val="3"/>
        </w:numPr>
        <w:spacing w:after="120"/>
        <w:ind w:left="709" w:hanging="425"/>
        <w:contextualSpacing/>
        <w:jc w:val="both"/>
        <w:rPr>
          <w:lang w:val="ru-RU"/>
        </w:rPr>
      </w:pPr>
      <w:r>
        <w:rPr>
          <w:lang w:val="ru-RU"/>
        </w:rPr>
        <w:t xml:space="preserve">Поставщик должен дать своё разрешение, и обеспечить разрешение субподрядчиков и консультантов на проведение проверки со стороны Банка и/или лиц, назначенных Банком, офисов Поставщика, всех счетов и записей, касающихся исполнения Контракта и представления тендерного предложения, а также, по запросу Банка, на проведение аудиторской проверки этих счетов и записей аудиторами, назначенными Банком. Поставщик, его субподрядчики и консультанты должны обратить внимание на статью 5 «Мошенничество и коррупция» в форме Контракта, в которой, помимо прочего, сказано, что действия, направленные на создание значительных преград к проведению проверки Банком и реализации права на аудит, представляют собой запрещённую деятельность, ведущую к расторжению контракта (а также установлению статуса неправомочности согласно действующим процедурам Банка по применению санкций).   </w:t>
      </w:r>
    </w:p>
    <w:p w14:paraId="626D6416">
      <w:pPr>
        <w:pStyle w:val="38"/>
        <w:spacing w:before="240" w:line="276" w:lineRule="auto"/>
        <w:ind w:left="0"/>
        <w:jc w:val="both"/>
        <w:rPr>
          <w:lang w:val="ru-RU"/>
        </w:rPr>
      </w:pPr>
      <w:r>
        <w:rPr>
          <w:lang w:val="ru-RU"/>
        </w:rPr>
        <w:t>Просьба подтвердить по факсу/электронной почте получение настоящего приглашения и ваше намерение или отказ в подаче ценовых котировок.</w:t>
      </w:r>
      <w:r>
        <w:rPr>
          <w:lang w:val="ru-RU"/>
        </w:rPr>
        <w:tab/>
      </w:r>
    </w:p>
    <w:p w14:paraId="19A57BA2">
      <w:pPr>
        <w:pStyle w:val="38"/>
        <w:spacing w:line="276" w:lineRule="auto"/>
        <w:ind w:left="0"/>
        <w:jc w:val="both"/>
        <w:rPr>
          <w:b/>
          <w:bCs/>
          <w:i/>
          <w:iCs/>
          <w:lang w:val="ru-RU"/>
        </w:rPr>
      </w:pPr>
      <w:r>
        <w:rPr>
          <w:b/>
          <w:bCs/>
          <w:i/>
          <w:iCs/>
          <w:lang w:val="ru-RU"/>
        </w:rPr>
        <w:t>С искренним уважением,</w:t>
      </w:r>
    </w:p>
    <w:p w14:paraId="7C84AEF2">
      <w:pPr>
        <w:pStyle w:val="38"/>
        <w:spacing w:line="276" w:lineRule="auto"/>
        <w:ind w:left="0"/>
        <w:rPr>
          <w:lang w:val="ru-RU"/>
        </w:rPr>
      </w:pPr>
    </w:p>
    <w:p w14:paraId="0938637E">
      <w:pPr>
        <w:pStyle w:val="38"/>
        <w:spacing w:line="276" w:lineRule="auto"/>
        <w:ind w:left="0"/>
        <w:rPr>
          <w:b/>
          <w:szCs w:val="36"/>
          <w:lang w:val="ru-RU"/>
        </w:rPr>
      </w:pPr>
      <w:r>
        <w:rPr>
          <w:b/>
          <w:bCs/>
          <w:lang w:val="ru-RU"/>
        </w:rPr>
        <w:t xml:space="preserve">Индивидуальный предприниматель </w:t>
      </w:r>
      <w:r>
        <w:rPr>
          <w:b/>
          <w:sz w:val="36"/>
          <w:szCs w:val="36"/>
          <w:lang w:val="ru-RU"/>
        </w:rPr>
        <w:t xml:space="preserve">__________ </w:t>
      </w:r>
      <w:r>
        <w:rPr>
          <w:b/>
          <w:sz w:val="28"/>
          <w:szCs w:val="28"/>
          <w:lang w:val="ru-RU"/>
        </w:rPr>
        <w:t>Жумабекова Тазагул</w:t>
      </w:r>
    </w:p>
    <w:p w14:paraId="534D89B3">
      <w:pPr>
        <w:pStyle w:val="38"/>
        <w:spacing w:line="276" w:lineRule="auto"/>
        <w:ind w:left="0"/>
        <w:rPr>
          <w:b/>
          <w:bCs/>
          <w:i/>
          <w:iCs/>
          <w:sz w:val="14"/>
          <w:szCs w:val="20"/>
          <w:lang w:val="ru-RU"/>
        </w:rPr>
      </w:pPr>
      <w:r>
        <w:rPr>
          <w:b/>
          <w:sz w:val="14"/>
          <w:szCs w:val="20"/>
          <w:lang w:val="ru-RU"/>
        </w:rPr>
        <w:t xml:space="preserve">                                                                                                                                      (подпись)</w:t>
      </w:r>
    </w:p>
    <w:bookmarkEnd w:id="2"/>
    <w:p w14:paraId="60A88951">
      <w:pPr>
        <w:pStyle w:val="45"/>
        <w:tabs>
          <w:tab w:val="left" w:pos="0"/>
        </w:tabs>
        <w:spacing w:line="276" w:lineRule="auto"/>
        <w:jc w:val="center"/>
        <w:rPr>
          <w:b/>
          <w:bCs/>
          <w:color w:val="000000"/>
          <w:sz w:val="40"/>
          <w:szCs w:val="40"/>
          <w:shd w:val="clear" w:color="auto" w:fill="FFFFFF"/>
          <w:lang w:val="ru-RU"/>
        </w:rPr>
      </w:pPr>
    </w:p>
    <w:p w14:paraId="3CA8DAD8">
      <w:pPr>
        <w:spacing w:before="240" w:line="276" w:lineRule="auto"/>
        <w:ind w:firstLine="720"/>
        <w:contextualSpacing/>
        <w:jc w:val="right"/>
        <w:rPr>
          <w:b/>
          <w:bCs/>
          <w:i/>
          <w:iCs/>
          <w:lang w:val="ru-RU"/>
        </w:rPr>
      </w:pPr>
      <w:r>
        <w:rPr>
          <w:lang w:val="ru-RU"/>
        </w:rPr>
        <w:br w:type="page"/>
      </w:r>
      <w:r>
        <w:rPr>
          <w:b/>
          <w:bCs/>
          <w:i/>
          <w:iCs/>
          <w:u w:val="single"/>
          <w:lang w:val="ru-RU"/>
        </w:rPr>
        <w:t>ПРИЛОЖЕНИЕ А</w:t>
      </w:r>
    </w:p>
    <w:p w14:paraId="34E051F5">
      <w:pPr>
        <w:pStyle w:val="5"/>
        <w:jc w:val="center"/>
        <w:rPr>
          <w:sz w:val="24"/>
          <w:szCs w:val="24"/>
          <w:lang w:val="ru-RU"/>
        </w:rPr>
      </w:pPr>
      <w:r>
        <w:rPr>
          <w:sz w:val="24"/>
          <w:szCs w:val="24"/>
          <w:lang w:val="ru-RU"/>
        </w:rPr>
        <w:t>ФОРМА КОНТРАКТА</w:t>
      </w:r>
    </w:p>
    <w:p w14:paraId="1CB4F468">
      <w:pPr>
        <w:jc w:val="center"/>
        <w:rPr>
          <w:b/>
          <w:lang w:val="ru-RU"/>
        </w:rPr>
      </w:pPr>
      <w:r>
        <w:rPr>
          <w:b/>
          <w:lang w:val="ru-RU"/>
        </w:rPr>
        <w:t>#___________________</w:t>
      </w:r>
    </w:p>
    <w:p w14:paraId="6510E96F">
      <w:pPr>
        <w:jc w:val="center"/>
        <w:rPr>
          <w:b/>
          <w:lang w:val="ru-RU"/>
        </w:rPr>
      </w:pPr>
    </w:p>
    <w:p w14:paraId="54D8353E">
      <w:pPr>
        <w:jc w:val="both"/>
        <w:rPr>
          <w:bCs/>
          <w:lang w:val="ru-RU"/>
        </w:rPr>
      </w:pPr>
      <w:r>
        <w:rPr>
          <w:bCs/>
          <w:lang w:val="ru-RU"/>
        </w:rPr>
        <w:t xml:space="preserve">НАСТОЯЩЕЕ СОГЛАШЕНИЕ составлено _______, _______2026 года </w:t>
      </w:r>
      <w:r>
        <w:rPr>
          <w:lang w:val="ru-RU"/>
        </w:rPr>
        <w:t xml:space="preserve">между </w:t>
      </w:r>
      <w:r>
        <w:rPr>
          <w:bCs/>
          <w:lang w:val="ru-RU"/>
        </w:rPr>
        <w:t>________________________________ (далее именуемый «Покупатель») с одной стороны, и ______________________________________ (далее именуемый «Поставщик») с другой стороны.</w:t>
      </w:r>
    </w:p>
    <w:p w14:paraId="057F7746">
      <w:pPr>
        <w:jc w:val="both"/>
        <w:rPr>
          <w:lang w:val="ru-RU"/>
        </w:rPr>
      </w:pPr>
    </w:p>
    <w:p w14:paraId="060F738D">
      <w:pPr>
        <w:jc w:val="both"/>
        <w:rPr>
          <w:lang w:val="ru-RU"/>
        </w:rPr>
      </w:pPr>
      <w:r>
        <w:rPr>
          <w:lang w:val="ru-RU"/>
        </w:rPr>
        <w:t>ПРИНИМАЯ ВО ВНИМАНИЕ, что Покупатель издал Приглашение на запрос цен на определенные товары и вспомогательные услуги, а именно на поставку _____________________________ и принял предложение Поставщика на поставку указанных товаров и услуг на сумму __________(_____________________), (далее «сумма Контракта»).</w:t>
      </w:r>
    </w:p>
    <w:p w14:paraId="19D0A7C4">
      <w:pPr>
        <w:jc w:val="both"/>
        <w:rPr>
          <w:lang w:val="ru-RU"/>
        </w:rPr>
      </w:pPr>
    </w:p>
    <w:p w14:paraId="74C0BEE0">
      <w:pPr>
        <w:jc w:val="both"/>
        <w:rPr>
          <w:lang w:val="ru-RU"/>
        </w:rPr>
      </w:pPr>
      <w:r>
        <w:rPr>
          <w:lang w:val="ru-RU"/>
        </w:rPr>
        <w:t>НАСТОЯЩЕЕ СОГЛАШЕНИЕ СВИДЕТЕЛЬСТВУЕТ О НИЖЕСЛЕДУЮЩЕМ:</w:t>
      </w:r>
    </w:p>
    <w:p w14:paraId="21678BD1">
      <w:pPr>
        <w:jc w:val="both"/>
        <w:rPr>
          <w:lang w:val="ru-RU"/>
        </w:rPr>
      </w:pPr>
    </w:p>
    <w:p w14:paraId="1C6B8EE5">
      <w:pPr>
        <w:jc w:val="both"/>
        <w:rPr>
          <w:lang w:val="ru-RU"/>
        </w:rPr>
      </w:pPr>
      <w:r>
        <w:rPr>
          <w:lang w:val="ru-RU"/>
        </w:rPr>
        <w:t>1. Перечисленные ниже документы образуют данный Контракт и должны считаться его неотъемлемой частью, а именно:</w:t>
      </w:r>
    </w:p>
    <w:p w14:paraId="6555A2FB">
      <w:pPr>
        <w:jc w:val="both"/>
        <w:rPr>
          <w:lang w:val="ru-RU"/>
        </w:rPr>
      </w:pPr>
    </w:p>
    <w:p w14:paraId="215A7571">
      <w:pPr>
        <w:numPr>
          <w:ilvl w:val="2"/>
          <w:numId w:val="4"/>
        </w:numPr>
        <w:tabs>
          <w:tab w:val="left" w:pos="1080"/>
        </w:tabs>
        <w:ind w:hanging="2880"/>
        <w:contextualSpacing/>
        <w:jc w:val="both"/>
        <w:rPr>
          <w:lang w:val="ru-RU"/>
        </w:rPr>
      </w:pPr>
      <w:r>
        <w:rPr>
          <w:lang w:val="ru-RU"/>
        </w:rPr>
        <w:t>Условия и сроки поставки, технические спецификации;</w:t>
      </w:r>
    </w:p>
    <w:p w14:paraId="26582600">
      <w:pPr>
        <w:numPr>
          <w:ilvl w:val="2"/>
          <w:numId w:val="4"/>
        </w:numPr>
        <w:tabs>
          <w:tab w:val="left" w:pos="1080"/>
        </w:tabs>
        <w:ind w:hanging="2880"/>
        <w:contextualSpacing/>
        <w:jc w:val="both"/>
        <w:rPr>
          <w:lang w:val="ru-RU"/>
        </w:rPr>
      </w:pPr>
      <w:r>
        <w:rPr>
          <w:lang w:val="ru-RU"/>
        </w:rPr>
        <w:t>Приложение (если применимо).</w:t>
      </w:r>
    </w:p>
    <w:p w14:paraId="1EB69F73">
      <w:pPr>
        <w:jc w:val="both"/>
        <w:rPr>
          <w:lang w:val="ru-RU"/>
        </w:rPr>
      </w:pPr>
    </w:p>
    <w:p w14:paraId="5F0FC343">
      <w:pPr>
        <w:jc w:val="both"/>
        <w:rPr>
          <w:lang w:val="ru-RU"/>
        </w:rPr>
      </w:pPr>
      <w:r>
        <w:rPr>
          <w:lang w:val="ru-RU"/>
        </w:rPr>
        <w:t xml:space="preserve">2. Настоящим Соглашением Покупатель и Поставщик обязуются, что не будут подписывать иных договоров, контрактов или соглашений (агентские или другие) связанных прямо или косвенно с данной поставкой, за исключением дополнительных соглашений, связанных с продлением настоящего Контракта.  </w:t>
      </w:r>
    </w:p>
    <w:p w14:paraId="7AC2BBED">
      <w:pPr>
        <w:jc w:val="both"/>
        <w:rPr>
          <w:lang w:val="ru-RU"/>
        </w:rPr>
      </w:pPr>
    </w:p>
    <w:p w14:paraId="1BB06418">
      <w:pPr>
        <w:jc w:val="both"/>
        <w:rPr>
          <w:lang w:val="ru-RU"/>
        </w:rPr>
      </w:pPr>
      <w:r>
        <w:rPr>
          <w:lang w:val="ru-RU"/>
        </w:rPr>
        <w:t xml:space="preserve">3. С учетом платежей, которые Покупатель должен произвести Поставщику, как указано ниже, Поставщик настоящим заключает договор с Покупателем о предоставлении товаров и услуг, и устранения дефектов, которые могут быть обнаружены в них, в полном соответствии с положениями Контракта.   </w:t>
      </w:r>
    </w:p>
    <w:p w14:paraId="58FC9CE5">
      <w:pPr>
        <w:jc w:val="both"/>
        <w:rPr>
          <w:lang w:val="ru-RU"/>
        </w:rPr>
      </w:pPr>
    </w:p>
    <w:p w14:paraId="6E1BF586">
      <w:pPr>
        <w:jc w:val="both"/>
        <w:rPr>
          <w:lang w:val="ru-RU"/>
        </w:rPr>
      </w:pPr>
      <w:r>
        <w:rPr>
          <w:lang w:val="ru-RU"/>
        </w:rPr>
        <w:t>4. Покупатель настоящим соглашается выплатить Поставщику с учетом поставки товаров и услуг и исправления дефектов, сумму Контракта, которую необходимо будет выплатить согласно положениям Контракта в те сроки и таким образом, как это предусмотрено в Контракте.</w:t>
      </w:r>
    </w:p>
    <w:p w14:paraId="41A70AF1">
      <w:pPr>
        <w:jc w:val="both"/>
        <w:rPr>
          <w:lang w:val="ru-RU"/>
        </w:rPr>
      </w:pPr>
    </w:p>
    <w:p w14:paraId="405BA3BB">
      <w:pPr>
        <w:pStyle w:val="38"/>
        <w:numPr>
          <w:ilvl w:val="0"/>
          <w:numId w:val="5"/>
        </w:numPr>
        <w:spacing w:after="120"/>
        <w:ind w:left="0" w:firstLine="0"/>
        <w:contextualSpacing/>
        <w:jc w:val="both"/>
        <w:rPr>
          <w:b/>
        </w:rPr>
      </w:pPr>
      <w:r>
        <w:rPr>
          <w:b/>
          <w:lang w:val="ru-RU"/>
        </w:rPr>
        <w:t xml:space="preserve">Расторжение Контракта </w:t>
      </w:r>
    </w:p>
    <w:p w14:paraId="16A51128">
      <w:pPr>
        <w:pStyle w:val="55"/>
        <w:spacing w:before="0" w:after="180"/>
        <w:ind w:left="612" w:hanging="252"/>
        <w:contextualSpacing/>
        <w:rPr>
          <w:spacing w:val="0"/>
          <w:szCs w:val="24"/>
          <w:lang w:val="ru-RU"/>
        </w:rPr>
      </w:pPr>
      <w:r>
        <w:rPr>
          <w:spacing w:val="0"/>
          <w:szCs w:val="24"/>
          <w:lang w:val="ru-RU"/>
        </w:rPr>
        <w:t xml:space="preserve">4.1 Расторжение контракта за неисполнение обязательств </w:t>
      </w:r>
    </w:p>
    <w:p w14:paraId="558FE54D">
      <w:pPr>
        <w:pStyle w:val="4"/>
        <w:keepNext w:val="0"/>
        <w:keepLines w:val="0"/>
        <w:numPr>
          <w:ilvl w:val="2"/>
          <w:numId w:val="6"/>
        </w:numPr>
        <w:spacing w:before="0" w:after="200"/>
        <w:contextualSpacing/>
        <w:jc w:val="both"/>
        <w:rPr>
          <w:rFonts w:ascii="Times New Roman" w:hAnsi="Times New Roman" w:cs="Times New Roman"/>
          <w:bCs/>
          <w:color w:val="auto"/>
          <w:lang w:val="ru-RU"/>
        </w:rPr>
      </w:pPr>
      <w:r>
        <w:rPr>
          <w:rFonts w:ascii="Times New Roman" w:hAnsi="Times New Roman" w:cs="Times New Roman"/>
          <w:bCs/>
          <w:color w:val="auto"/>
          <w:lang w:val="ru-RU"/>
        </w:rPr>
        <w:t xml:space="preserve">Покупатель, сохраняя за собой право на получение возмещения за ущерб, понесенный в результате нарушения условий Контракта, может полностью или частично расторгнуть Контракт, направив письменное уведомление о неисполнении обязательств Поставщику в случае, </w:t>
      </w:r>
    </w:p>
    <w:p w14:paraId="0C5C968A">
      <w:pPr>
        <w:pStyle w:val="5"/>
        <w:keepNext w:val="0"/>
        <w:numPr>
          <w:ilvl w:val="3"/>
          <w:numId w:val="7"/>
        </w:numPr>
        <w:tabs>
          <w:tab w:val="left" w:pos="1692"/>
        </w:tabs>
        <w:spacing w:before="0" w:after="200"/>
        <w:ind w:left="1685" w:hanging="504"/>
        <w:contextualSpacing/>
        <w:jc w:val="both"/>
        <w:rPr>
          <w:b w:val="0"/>
          <w:sz w:val="24"/>
          <w:szCs w:val="24"/>
          <w:lang w:val="ru-RU"/>
        </w:rPr>
      </w:pPr>
      <w:r>
        <w:rPr>
          <w:b w:val="0"/>
          <w:sz w:val="24"/>
          <w:szCs w:val="24"/>
          <w:lang w:val="ru-RU"/>
        </w:rPr>
        <w:t xml:space="preserve">если Поставщик не поставил часть или все Товары в течение срока, оговоренного в Контракте, или в течение продленного срока, если такое продление было ему предоставлено; </w:t>
      </w:r>
    </w:p>
    <w:p w14:paraId="5707DE42">
      <w:pPr>
        <w:pStyle w:val="5"/>
        <w:keepNext w:val="0"/>
        <w:numPr>
          <w:ilvl w:val="3"/>
          <w:numId w:val="7"/>
        </w:numPr>
        <w:tabs>
          <w:tab w:val="left" w:pos="1692"/>
        </w:tabs>
        <w:spacing w:before="0" w:after="200"/>
        <w:ind w:left="1685" w:hanging="504"/>
        <w:contextualSpacing/>
        <w:jc w:val="both"/>
        <w:rPr>
          <w:b w:val="0"/>
          <w:sz w:val="24"/>
          <w:szCs w:val="24"/>
          <w:lang w:val="ru-RU"/>
        </w:rPr>
      </w:pPr>
      <w:r>
        <w:rPr>
          <w:b w:val="0"/>
          <w:sz w:val="24"/>
          <w:szCs w:val="24"/>
          <w:lang w:val="ru-RU"/>
        </w:rPr>
        <w:t>если Поставщик не выполнил любые другие обязательства по контракту; или</w:t>
      </w:r>
    </w:p>
    <w:p w14:paraId="63E677AB">
      <w:pPr>
        <w:pStyle w:val="5"/>
        <w:keepNext w:val="0"/>
        <w:numPr>
          <w:ilvl w:val="3"/>
          <w:numId w:val="7"/>
        </w:numPr>
        <w:tabs>
          <w:tab w:val="left" w:pos="1692"/>
        </w:tabs>
        <w:spacing w:before="0" w:after="200"/>
        <w:ind w:left="1685" w:hanging="504"/>
        <w:contextualSpacing/>
        <w:jc w:val="both"/>
        <w:rPr>
          <w:b w:val="0"/>
          <w:sz w:val="24"/>
          <w:szCs w:val="24"/>
          <w:lang w:val="ru-RU"/>
        </w:rPr>
      </w:pPr>
      <w:r>
        <w:rPr>
          <w:b w:val="0"/>
          <w:sz w:val="24"/>
          <w:szCs w:val="24"/>
          <w:lang w:val="ru-RU"/>
        </w:rPr>
        <w:t>если Поставщик во время участия в конкурсном отборе, или в ходе выполнения контракта, по мнению Покупателя, стал участником мошенничества и коррупции, согласно определению, данному в статье 5 ниже.</w:t>
      </w:r>
    </w:p>
    <w:p w14:paraId="1B89D854">
      <w:pPr>
        <w:pStyle w:val="38"/>
        <w:numPr>
          <w:ilvl w:val="2"/>
          <w:numId w:val="7"/>
        </w:numPr>
        <w:spacing w:after="120"/>
        <w:contextualSpacing/>
        <w:jc w:val="both"/>
        <w:rPr>
          <w:lang w:val="ru-RU"/>
        </w:rPr>
      </w:pPr>
      <w:r>
        <w:rPr>
          <w:lang w:val="ru-RU"/>
        </w:rPr>
        <w:t xml:space="preserve">В случае, если Покупатель расторгнет Контракт полностью или частично, Покупатель может приобрести на условиях и посредством метода, которые он посчитает приемлемыми, Товары или Сопутствующие услуги, аналогичные тем, которые не были поставлены или предоставлены Поставщиком,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 Вместе с этим, Поставщик продолжит выполнение остающихся в силе обязательств по Контракту. </w:t>
      </w:r>
    </w:p>
    <w:p w14:paraId="123CD600">
      <w:pPr>
        <w:pStyle w:val="55"/>
        <w:spacing w:before="0" w:after="200"/>
        <w:ind w:left="612" w:hanging="612"/>
        <w:contextualSpacing/>
        <w:rPr>
          <w:spacing w:val="0"/>
          <w:szCs w:val="24"/>
          <w:lang w:val="ru-RU"/>
        </w:rPr>
      </w:pPr>
      <w:r>
        <w:rPr>
          <w:spacing w:val="0"/>
          <w:szCs w:val="24"/>
          <w:lang w:val="ru-RU"/>
        </w:rPr>
        <w:t>4.2</w:t>
      </w:r>
      <w:r>
        <w:rPr>
          <w:spacing w:val="0"/>
          <w:szCs w:val="24"/>
          <w:lang w:val="ru-RU"/>
        </w:rPr>
        <w:tab/>
      </w:r>
      <w:r>
        <w:rPr>
          <w:spacing w:val="0"/>
          <w:szCs w:val="24"/>
          <w:lang w:val="ru-RU"/>
        </w:rPr>
        <w:t xml:space="preserve">Расторжение контракта вследствие несостоятельности Поставщика </w:t>
      </w:r>
    </w:p>
    <w:p w14:paraId="42EA7C6A">
      <w:pPr>
        <w:pStyle w:val="4"/>
        <w:keepNext w:val="0"/>
        <w:keepLines w:val="0"/>
        <w:numPr>
          <w:ilvl w:val="2"/>
          <w:numId w:val="8"/>
        </w:numPr>
        <w:spacing w:before="0" w:after="200"/>
        <w:contextualSpacing/>
        <w:jc w:val="both"/>
        <w:rPr>
          <w:rFonts w:ascii="Times New Roman" w:hAnsi="Times New Roman" w:cs="Times New Roman"/>
          <w:bCs/>
          <w:color w:val="auto"/>
          <w:lang w:val="ru-RU"/>
        </w:rPr>
      </w:pPr>
      <w:r>
        <w:rPr>
          <w:rFonts w:ascii="Times New Roman" w:hAnsi="Times New Roman" w:cs="Times New Roman"/>
          <w:bCs/>
          <w:color w:val="auto"/>
          <w:lang w:val="ru-RU"/>
        </w:rPr>
        <w:t>Покупатель может в любое время расторгнуть Контракт, уведомив об этом Поставщика, если Поставщик потерпит банкротство или станет несостоятельным по каким-либо другим причинам. В таком случае, Контракт будет расторгнут без компенсации Поставщику, при условии,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w:t>
      </w:r>
    </w:p>
    <w:p w14:paraId="38B3D41D">
      <w:pPr>
        <w:pStyle w:val="55"/>
        <w:spacing w:before="0" w:after="200"/>
        <w:ind w:left="612" w:hanging="612"/>
        <w:contextualSpacing/>
        <w:rPr>
          <w:spacing w:val="0"/>
          <w:szCs w:val="24"/>
          <w:lang w:val="ru-RU"/>
        </w:rPr>
      </w:pPr>
      <w:r>
        <w:rPr>
          <w:spacing w:val="0"/>
          <w:szCs w:val="24"/>
          <w:lang w:val="ru-RU"/>
        </w:rPr>
        <w:t>4.3</w:t>
      </w:r>
      <w:r>
        <w:rPr>
          <w:spacing w:val="0"/>
          <w:szCs w:val="24"/>
          <w:lang w:val="ru-RU"/>
        </w:rPr>
        <w:tab/>
      </w:r>
      <w:r>
        <w:rPr>
          <w:spacing w:val="0"/>
          <w:szCs w:val="24"/>
          <w:lang w:val="ru-RU"/>
        </w:rPr>
        <w:t xml:space="preserve">Расторжение контракта по инициативе Покупателя </w:t>
      </w:r>
    </w:p>
    <w:p w14:paraId="65DD1BB3">
      <w:pPr>
        <w:pStyle w:val="4"/>
        <w:keepNext w:val="0"/>
        <w:keepLines w:val="0"/>
        <w:numPr>
          <w:ilvl w:val="2"/>
          <w:numId w:val="9"/>
        </w:numPr>
        <w:spacing w:before="0" w:after="200"/>
        <w:contextualSpacing/>
        <w:jc w:val="both"/>
        <w:rPr>
          <w:rFonts w:ascii="Times New Roman" w:hAnsi="Times New Roman" w:cs="Times New Roman"/>
          <w:bCs/>
          <w:color w:val="auto"/>
          <w:lang w:val="ru-RU"/>
        </w:rPr>
      </w:pPr>
      <w:r>
        <w:rPr>
          <w:rFonts w:ascii="Times New Roman" w:hAnsi="Times New Roman" w:cs="Times New Roman"/>
          <w:bCs/>
          <w:color w:val="auto"/>
          <w:lang w:val="ru-RU"/>
        </w:rPr>
        <w:t xml:space="preserve">Покупатель может в любое время расторгнуть Контракт полностью или частично по собственной инициативе, направив соответствующее уведомление Поставщику. В уведомлении будет указано, что Контракт расторгается по инициативе Покупателя, будет определено, в какой степени прекращается деятельность Поставщика по Контракту, и будет указана дата вступления в силу расторжения Контракта. </w:t>
      </w:r>
    </w:p>
    <w:p w14:paraId="6E7C8096">
      <w:pPr>
        <w:pStyle w:val="4"/>
        <w:keepNext w:val="0"/>
        <w:keepLines w:val="0"/>
        <w:numPr>
          <w:ilvl w:val="2"/>
          <w:numId w:val="9"/>
        </w:numPr>
        <w:spacing w:before="0" w:after="200"/>
        <w:contextualSpacing/>
        <w:jc w:val="both"/>
        <w:rPr>
          <w:rFonts w:ascii="Times New Roman" w:hAnsi="Times New Roman" w:cs="Times New Roman"/>
          <w:bCs/>
          <w:color w:val="auto"/>
        </w:rPr>
      </w:pPr>
      <w:r>
        <w:rPr>
          <w:rFonts w:ascii="Times New Roman" w:hAnsi="Times New Roman" w:cs="Times New Roman"/>
          <w:bCs/>
          <w:color w:val="auto"/>
          <w:lang w:val="ru-RU"/>
        </w:rPr>
        <w:t xml:space="preserve">Товары, готовые к отправке в течение двадцати восьми (28) дней после получения Поставщиком уведомления о расторжении Контракта будут приняты Покупателем по ценам и условиям Контракта. </w:t>
      </w:r>
      <w:r>
        <w:rPr>
          <w:rFonts w:ascii="Times New Roman" w:hAnsi="Times New Roman" w:cs="Times New Roman"/>
          <w:bCs/>
          <w:color w:val="auto"/>
        </w:rPr>
        <w:t xml:space="preserve">В отношении остальных товаров, Покупатель может: </w:t>
      </w:r>
    </w:p>
    <w:p w14:paraId="395DDD2C">
      <w:pPr>
        <w:pStyle w:val="5"/>
        <w:keepNext w:val="0"/>
        <w:numPr>
          <w:ilvl w:val="3"/>
          <w:numId w:val="10"/>
        </w:numPr>
        <w:tabs>
          <w:tab w:val="right" w:pos="1692"/>
        </w:tabs>
        <w:spacing w:before="0" w:after="200"/>
        <w:ind w:left="1728" w:hanging="576"/>
        <w:contextualSpacing/>
        <w:jc w:val="both"/>
        <w:rPr>
          <w:b w:val="0"/>
          <w:sz w:val="24"/>
          <w:szCs w:val="24"/>
          <w:lang w:val="ru-RU"/>
        </w:rPr>
      </w:pPr>
      <w:r>
        <w:rPr>
          <w:b w:val="0"/>
          <w:sz w:val="24"/>
          <w:szCs w:val="24"/>
          <w:lang w:val="ru-RU"/>
        </w:rPr>
        <w:t xml:space="preserve">Купить с доставкой любой объем товара по цене и условиям Контракта; и/или </w:t>
      </w:r>
    </w:p>
    <w:p w14:paraId="60FAC35D">
      <w:pPr>
        <w:pStyle w:val="38"/>
        <w:numPr>
          <w:ilvl w:val="3"/>
          <w:numId w:val="10"/>
        </w:numPr>
        <w:spacing w:after="120"/>
        <w:ind w:hanging="432"/>
        <w:contextualSpacing/>
        <w:jc w:val="both"/>
        <w:rPr>
          <w:b/>
          <w:lang w:val="ru-RU"/>
        </w:rPr>
      </w:pPr>
      <w:r>
        <w:rPr>
          <w:lang w:val="ru-RU"/>
        </w:rPr>
        <w:t xml:space="preserve">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 закупленные Поставщиком. </w:t>
      </w:r>
    </w:p>
    <w:p w14:paraId="0F25B396">
      <w:pPr>
        <w:numPr>
          <w:ilvl w:val="0"/>
          <w:numId w:val="5"/>
        </w:numPr>
        <w:spacing w:after="120"/>
        <w:ind w:left="0" w:firstLine="0"/>
        <w:contextualSpacing/>
        <w:jc w:val="both"/>
        <w:rPr>
          <w:b/>
        </w:rPr>
      </w:pPr>
      <w:r>
        <w:rPr>
          <w:b/>
          <w:lang w:val="ru-RU"/>
        </w:rPr>
        <w:t xml:space="preserve">Мошенничество и коррупция </w:t>
      </w:r>
    </w:p>
    <w:p w14:paraId="34672B14">
      <w:pPr>
        <w:jc w:val="both"/>
        <w:rPr>
          <w:lang w:val="ru-RU"/>
        </w:rPr>
      </w:pPr>
      <w:r>
        <w:rPr>
          <w:lang w:val="ru-RU"/>
        </w:rPr>
        <w:t xml:space="preserve">Если Покупатель определит, что Поставщик и/или кто-либо из его сотрудников, агентов, субподрядчиков, консультантов, поставщиков услуг, их работников и сотрудников Поставщика были вовлечены в коррупционные, мошеннические, принудительные действия, заговор или причинение препятствий, во время участия в конкурсном отборе или выполнении Контракта, Покупатель может прекратить занятость Поставщика по Контракту и отменить Контракт, поставив Поставщика в известность за 14 дней. В этом случае будут применяться положения статьи 4, касающиеся расторжения Контракта на основании пункта 4.1. </w:t>
      </w:r>
    </w:p>
    <w:p w14:paraId="74EC70D5">
      <w:pPr>
        <w:jc w:val="both"/>
        <w:rPr>
          <w:lang w:val="ru-RU"/>
        </w:rPr>
      </w:pPr>
    </w:p>
    <w:p w14:paraId="2DB1A207">
      <w:pPr>
        <w:jc w:val="both"/>
        <w:rPr>
          <w:lang w:val="ru-RU"/>
        </w:rPr>
      </w:pPr>
      <w:r>
        <w:rPr>
          <w:lang w:val="ru-RU"/>
        </w:rPr>
        <w:t xml:space="preserve">Инспектирование и аудиторские проверки </w:t>
      </w:r>
    </w:p>
    <w:p w14:paraId="12A1A9C2">
      <w:pPr>
        <w:jc w:val="both"/>
        <w:rPr>
          <w:lang w:val="ru-RU"/>
        </w:rPr>
      </w:pPr>
      <w:r>
        <w:rPr>
          <w:lang w:val="ru-RU"/>
        </w:rPr>
        <w:t xml:space="preserve">Поставщик должен исполнить все инструкции Покупателя, соответствующие применимым законам места назначения. </w:t>
      </w:r>
    </w:p>
    <w:p w14:paraId="5EFA2854">
      <w:pPr>
        <w:jc w:val="both"/>
        <w:rPr>
          <w:lang w:val="ru-RU"/>
        </w:rPr>
      </w:pPr>
      <w:r>
        <w:rPr>
          <w:lang w:val="ru-RU"/>
        </w:rPr>
        <w:t xml:space="preserve">Поставщик должен дать свое разрешение, и обеспечить разрешение субподрядчиков и консультантов на проведение проверки со стороны Всемирного банка и/или лиц, назначенных Всемирным банком, офисов Поставщика, всех счетов и записей, касающихся исполнения Контракта и представления тендерного предложения, а также, по запросу Всемирного банка, проведение аудиторской проверки этих счетов и записей аудиторами, назначенными Всемирным банком. Поставщик, его субподрядчики и консультанты должны обратить внимание на статью 5 «Мошенничество и коррупция», в которой, помимо прочего, сказано, что действия, направленные на создание значительных преград к проведению проверки Всемирным банком и реализации права на аудит, представляют собой запрещенную деятельность, ведущую к расторжению контракта (а также установлению статуса неправомочности согласно действующим процедурам Всемирного банка по применению санкций).   </w:t>
      </w:r>
    </w:p>
    <w:p w14:paraId="3DEA08D7">
      <w:pPr>
        <w:jc w:val="both"/>
        <w:rPr>
          <w:lang w:val="ru-RU"/>
        </w:rPr>
      </w:pPr>
    </w:p>
    <w:p w14:paraId="5661F047">
      <w:pPr>
        <w:jc w:val="both"/>
        <w:rPr>
          <w:lang w:val="ru-RU"/>
        </w:rPr>
      </w:pPr>
      <w:r>
        <w:rPr>
          <w:lang w:val="ru-RU"/>
        </w:rPr>
        <w:t xml:space="preserve">Поставщик должен исполнить все инструкции Покупателя, соответствующие применимым законам места назначения. </w:t>
      </w:r>
    </w:p>
    <w:p w14:paraId="064BBB46">
      <w:pPr>
        <w:jc w:val="both"/>
        <w:rPr>
          <w:lang w:val="ru-RU"/>
        </w:rPr>
      </w:pPr>
    </w:p>
    <w:p w14:paraId="225C19FD">
      <w:pPr>
        <w:jc w:val="both"/>
        <w:rPr>
          <w:lang w:val="ru-RU"/>
        </w:rPr>
      </w:pPr>
    </w:p>
    <w:p w14:paraId="425DC32C">
      <w:pPr>
        <w:jc w:val="both"/>
        <w:rPr>
          <w:lang w:val="ru-RU"/>
        </w:rPr>
      </w:pPr>
      <w:r>
        <w:rPr>
          <w:lang w:val="ru-RU"/>
        </w:rPr>
        <w:t>_________________________________</w:t>
      </w:r>
    </w:p>
    <w:p w14:paraId="221534AB">
      <w:pPr>
        <w:tabs>
          <w:tab w:val="left" w:pos="672"/>
          <w:tab w:val="left" w:pos="1440"/>
          <w:tab w:val="left" w:pos="2112"/>
          <w:tab w:val="right" w:leader="dot" w:pos="8618"/>
        </w:tabs>
        <w:suppressAutoHyphens/>
        <w:jc w:val="both"/>
        <w:rPr>
          <w:spacing w:val="-3"/>
          <w:lang w:val="ru-RU"/>
        </w:rPr>
      </w:pPr>
      <w:r>
        <w:rPr>
          <w:spacing w:val="-3"/>
          <w:lang w:val="ru-RU"/>
        </w:rPr>
        <w:t>(от имени Покупателя)</w:t>
      </w:r>
    </w:p>
    <w:p w14:paraId="22925B1D">
      <w:pPr>
        <w:jc w:val="both"/>
        <w:rPr>
          <w:lang w:val="ru-RU"/>
        </w:rPr>
      </w:pPr>
    </w:p>
    <w:p w14:paraId="63BE3CF4">
      <w:pPr>
        <w:jc w:val="both"/>
        <w:rPr>
          <w:lang w:val="ru-RU"/>
        </w:rPr>
      </w:pPr>
      <w:r>
        <w:rPr>
          <w:lang w:val="ru-RU"/>
        </w:rPr>
        <w:t>_________________________________</w:t>
      </w:r>
    </w:p>
    <w:p w14:paraId="1435392E">
      <w:pPr>
        <w:jc w:val="both"/>
        <w:rPr>
          <w:lang w:val="ru-RU"/>
        </w:rPr>
      </w:pPr>
      <w:r>
        <w:rPr>
          <w:lang w:val="ru-RU"/>
        </w:rPr>
        <w:t>(от имени Поставщика)</w:t>
      </w:r>
    </w:p>
    <w:p w14:paraId="58DF59B3">
      <w:pPr>
        <w:jc w:val="center"/>
        <w:rPr>
          <w:b/>
          <w:bCs/>
          <w:lang w:val="ru-RU"/>
        </w:rPr>
      </w:pPr>
      <w:r>
        <w:rPr>
          <w:lang w:val="ru-RU"/>
        </w:rPr>
        <w:br w:type="page"/>
      </w:r>
      <w:r>
        <w:rPr>
          <w:b/>
          <w:bCs/>
          <w:lang w:val="ru-RU"/>
        </w:rPr>
        <w:t>УСЛОВИЯ И СРОКИ ПОСТАВКИ</w:t>
      </w:r>
    </w:p>
    <w:p w14:paraId="0B810684">
      <w:pPr>
        <w:jc w:val="both"/>
        <w:rPr>
          <w:lang w:val="ru-RU"/>
        </w:rPr>
      </w:pPr>
    </w:p>
    <w:p w14:paraId="6FE3AB4D">
      <w:pPr>
        <w:ind w:left="2160" w:hanging="2160"/>
        <w:contextualSpacing/>
        <w:jc w:val="both"/>
        <w:rPr>
          <w:lang w:val="ru-RU"/>
        </w:rPr>
      </w:pPr>
      <w:r>
        <w:rPr>
          <w:b/>
          <w:lang w:val="ru-RU"/>
        </w:rPr>
        <w:t xml:space="preserve">Название проекта: </w:t>
      </w:r>
      <w:r>
        <w:rPr>
          <w:lang w:val="ru-RU"/>
        </w:rPr>
        <w:t>Проект Регионального экономического развития (ПРЭР)</w:t>
      </w:r>
    </w:p>
    <w:p w14:paraId="0C2F8F67">
      <w:pPr>
        <w:ind w:left="1620" w:hanging="1620"/>
        <w:contextualSpacing/>
        <w:jc w:val="both"/>
        <w:rPr>
          <w:b/>
          <w:lang w:val="ru-RU"/>
        </w:rPr>
      </w:pPr>
    </w:p>
    <w:p w14:paraId="179D2196">
      <w:pPr>
        <w:spacing w:before="75" w:after="75"/>
        <w:ind w:left="600" w:hanging="600"/>
        <w:rPr>
          <w:bCs/>
        </w:rPr>
      </w:pPr>
      <w:r>
        <w:rPr>
          <w:bCs/>
          <w:u w:val="single"/>
          <w:lang w:val="ru-RU"/>
        </w:rPr>
        <w:t>Цены</w:t>
      </w:r>
      <w:r>
        <w:rPr>
          <w:bCs/>
          <w:u w:val="single"/>
        </w:rPr>
        <w:t xml:space="preserve"> </w:t>
      </w:r>
      <w:r>
        <w:rPr>
          <w:bCs/>
          <w:u w:val="single"/>
          <w:lang w:val="ru-RU"/>
        </w:rPr>
        <w:t>и</w:t>
      </w:r>
      <w:r>
        <w:rPr>
          <w:bCs/>
          <w:u w:val="single"/>
        </w:rPr>
        <w:t xml:space="preserve"> </w:t>
      </w:r>
      <w:r>
        <w:rPr>
          <w:bCs/>
          <w:u w:val="single"/>
          <w:lang w:val="ru-RU"/>
        </w:rPr>
        <w:t>график</w:t>
      </w:r>
      <w:r>
        <w:rPr>
          <w:bCs/>
          <w:u w:val="single"/>
        </w:rPr>
        <w:t xml:space="preserve"> </w:t>
      </w:r>
      <w:r>
        <w:rPr>
          <w:bCs/>
          <w:u w:val="single"/>
          <w:lang w:val="ru-RU"/>
        </w:rPr>
        <w:t>поставки</w:t>
      </w:r>
      <w:r>
        <w:rPr>
          <w:bCs/>
        </w:rPr>
        <w:tab/>
      </w:r>
    </w:p>
    <w:tbl>
      <w:tblPr>
        <w:tblStyle w:val="8"/>
        <w:tblW w:w="10665" w:type="dxa"/>
        <w:tblInd w:w="-44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0"/>
        <w:gridCol w:w="2249"/>
        <w:gridCol w:w="851"/>
        <w:gridCol w:w="708"/>
        <w:gridCol w:w="1373"/>
        <w:gridCol w:w="1481"/>
        <w:gridCol w:w="1559"/>
        <w:gridCol w:w="1712"/>
        <w:gridCol w:w="22"/>
      </w:tblGrid>
      <w:tr w14:paraId="04609D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22" w:type="dxa"/>
          <w:trHeight w:val="691" w:hRule="atLeast"/>
        </w:trPr>
        <w:tc>
          <w:tcPr>
            <w:tcW w:w="710" w:type="dxa"/>
            <w:tcBorders>
              <w:top w:val="double" w:color="auto" w:sz="4" w:space="0"/>
              <w:left w:val="double" w:color="auto" w:sz="4" w:space="0"/>
              <w:bottom w:val="single" w:color="auto" w:sz="6" w:space="0"/>
              <w:right w:val="single" w:color="auto" w:sz="6" w:space="0"/>
            </w:tcBorders>
            <w:shd w:val="clear" w:color="auto" w:fill="D9D9D9"/>
            <w:vAlign w:val="center"/>
          </w:tcPr>
          <w:p w14:paraId="021E2FB1">
            <w:pPr>
              <w:jc w:val="center"/>
              <w:rPr>
                <w:b/>
                <w:bCs/>
                <w:sz w:val="22"/>
                <w:szCs w:val="22"/>
                <w:lang w:val="ru-RU"/>
              </w:rPr>
            </w:pPr>
            <w:r>
              <w:rPr>
                <w:b/>
                <w:bCs/>
                <w:sz w:val="22"/>
                <w:szCs w:val="22"/>
                <w:lang w:val="ru-RU"/>
              </w:rPr>
              <w:t>№</w:t>
            </w:r>
          </w:p>
          <w:p w14:paraId="5B18559E">
            <w:pPr>
              <w:jc w:val="center"/>
              <w:rPr>
                <w:b/>
                <w:bCs/>
                <w:sz w:val="22"/>
                <w:szCs w:val="22"/>
              </w:rPr>
            </w:pPr>
          </w:p>
          <w:p w14:paraId="4F9970B5">
            <w:pPr>
              <w:jc w:val="both"/>
              <w:rPr>
                <w:b/>
                <w:bCs/>
                <w:sz w:val="22"/>
                <w:szCs w:val="22"/>
                <w:lang w:val="ru-RU"/>
              </w:rPr>
            </w:pPr>
          </w:p>
        </w:tc>
        <w:tc>
          <w:tcPr>
            <w:tcW w:w="2249" w:type="dxa"/>
            <w:tcBorders>
              <w:top w:val="double" w:color="auto" w:sz="4" w:space="0"/>
              <w:left w:val="single" w:color="auto" w:sz="6" w:space="0"/>
              <w:bottom w:val="single" w:color="auto" w:sz="6" w:space="0"/>
              <w:right w:val="single" w:color="auto" w:sz="6" w:space="0"/>
            </w:tcBorders>
            <w:shd w:val="clear" w:color="auto" w:fill="D9D9D9"/>
            <w:vAlign w:val="center"/>
          </w:tcPr>
          <w:p w14:paraId="4C85A639">
            <w:pPr>
              <w:jc w:val="both"/>
              <w:rPr>
                <w:b/>
                <w:bCs/>
                <w:sz w:val="22"/>
                <w:szCs w:val="22"/>
                <w:lang w:val="ru-RU"/>
              </w:rPr>
            </w:pPr>
            <w:r>
              <w:rPr>
                <w:b/>
                <w:bCs/>
                <w:sz w:val="22"/>
                <w:szCs w:val="22"/>
                <w:lang w:val="ru-RU"/>
              </w:rPr>
              <w:t>Описание товаров</w:t>
            </w:r>
          </w:p>
        </w:tc>
        <w:tc>
          <w:tcPr>
            <w:tcW w:w="851" w:type="dxa"/>
            <w:tcBorders>
              <w:top w:val="double" w:color="auto" w:sz="4" w:space="0"/>
              <w:left w:val="single" w:color="auto" w:sz="6" w:space="0"/>
              <w:bottom w:val="single" w:color="auto" w:sz="6" w:space="0"/>
              <w:right w:val="single" w:color="auto" w:sz="6" w:space="0"/>
            </w:tcBorders>
            <w:shd w:val="clear" w:color="auto" w:fill="D9D9D9"/>
            <w:vAlign w:val="center"/>
          </w:tcPr>
          <w:p w14:paraId="3E46A3B6">
            <w:pPr>
              <w:jc w:val="both"/>
              <w:rPr>
                <w:b/>
                <w:sz w:val="22"/>
                <w:szCs w:val="22"/>
                <w:lang w:val="ru-RU"/>
              </w:rPr>
            </w:pPr>
            <w:r>
              <w:rPr>
                <w:b/>
                <w:sz w:val="22"/>
                <w:szCs w:val="22"/>
                <w:lang w:val="ru-RU"/>
              </w:rPr>
              <w:t>Ед. изм.</w:t>
            </w:r>
          </w:p>
        </w:tc>
        <w:tc>
          <w:tcPr>
            <w:tcW w:w="708" w:type="dxa"/>
            <w:tcBorders>
              <w:top w:val="double" w:color="auto" w:sz="4" w:space="0"/>
              <w:left w:val="single" w:color="auto" w:sz="6" w:space="0"/>
              <w:bottom w:val="single" w:color="auto" w:sz="6" w:space="0"/>
              <w:right w:val="single" w:color="auto" w:sz="6" w:space="0"/>
            </w:tcBorders>
            <w:shd w:val="clear" w:color="auto" w:fill="D9D9D9"/>
            <w:vAlign w:val="center"/>
          </w:tcPr>
          <w:p w14:paraId="37035023">
            <w:pPr>
              <w:jc w:val="both"/>
              <w:rPr>
                <w:b/>
                <w:sz w:val="22"/>
                <w:szCs w:val="22"/>
                <w:lang w:val="ru-RU"/>
              </w:rPr>
            </w:pPr>
            <w:r>
              <w:rPr>
                <w:b/>
                <w:sz w:val="22"/>
                <w:szCs w:val="22"/>
                <w:lang w:val="ru-RU"/>
              </w:rPr>
              <w:t>Кол-во</w:t>
            </w:r>
          </w:p>
        </w:tc>
        <w:tc>
          <w:tcPr>
            <w:tcW w:w="1373" w:type="dxa"/>
            <w:tcBorders>
              <w:top w:val="double" w:color="auto" w:sz="4" w:space="0"/>
              <w:left w:val="single" w:color="auto" w:sz="6" w:space="0"/>
              <w:bottom w:val="single" w:color="auto" w:sz="6" w:space="0"/>
              <w:right w:val="single" w:color="auto" w:sz="6" w:space="0"/>
            </w:tcBorders>
            <w:shd w:val="clear" w:color="auto" w:fill="D9D9D9"/>
            <w:vAlign w:val="center"/>
          </w:tcPr>
          <w:p w14:paraId="15263273">
            <w:pPr>
              <w:jc w:val="center"/>
              <w:rPr>
                <w:b/>
                <w:bCs/>
                <w:sz w:val="22"/>
                <w:szCs w:val="22"/>
                <w:lang w:val="ru-RU"/>
              </w:rPr>
            </w:pPr>
            <w:r>
              <w:rPr>
                <w:b/>
                <w:bCs/>
                <w:sz w:val="22"/>
                <w:szCs w:val="22"/>
                <w:lang w:val="ru-RU" w:eastAsia="ru-RU"/>
              </w:rPr>
              <w:t>Цена за единицу (сом)</w:t>
            </w:r>
          </w:p>
        </w:tc>
        <w:tc>
          <w:tcPr>
            <w:tcW w:w="1481" w:type="dxa"/>
            <w:tcBorders>
              <w:top w:val="double" w:color="auto" w:sz="4" w:space="0"/>
              <w:left w:val="single" w:color="auto" w:sz="6" w:space="0"/>
              <w:bottom w:val="single" w:color="auto" w:sz="6" w:space="0"/>
              <w:right w:val="single" w:color="auto" w:sz="6" w:space="0"/>
            </w:tcBorders>
            <w:shd w:val="clear" w:color="auto" w:fill="D9D9D9"/>
            <w:vAlign w:val="center"/>
          </w:tcPr>
          <w:p w14:paraId="756A102F">
            <w:pPr>
              <w:jc w:val="center"/>
              <w:rPr>
                <w:b/>
                <w:bCs/>
                <w:sz w:val="22"/>
                <w:szCs w:val="22"/>
                <w:lang w:val="ru-RU" w:eastAsia="ru-RU"/>
              </w:rPr>
            </w:pPr>
            <w:r>
              <w:rPr>
                <w:sz w:val="22"/>
                <w:szCs w:val="22"/>
                <w:lang w:val="ru-RU" w:eastAsia="ru-RU"/>
              </w:rPr>
              <w:t xml:space="preserve">все налоги, таможенные пошлины, сборы, стоимость внутренней транспортировки и страхование </w:t>
            </w:r>
            <w:r>
              <w:rPr>
                <w:bCs/>
                <w:sz w:val="22"/>
                <w:szCs w:val="22"/>
                <w:lang w:val="ru-RU" w:eastAsia="ru-RU"/>
              </w:rPr>
              <w:t>(сом)</w:t>
            </w:r>
          </w:p>
        </w:tc>
        <w:tc>
          <w:tcPr>
            <w:tcW w:w="1559" w:type="dxa"/>
            <w:tcBorders>
              <w:top w:val="double" w:color="auto" w:sz="4" w:space="0"/>
              <w:left w:val="single" w:color="auto" w:sz="6" w:space="0"/>
              <w:bottom w:val="single" w:color="auto" w:sz="6" w:space="0"/>
              <w:right w:val="single" w:color="auto" w:sz="6" w:space="0"/>
            </w:tcBorders>
            <w:shd w:val="clear" w:color="auto" w:fill="D9D9D9"/>
            <w:vAlign w:val="center"/>
          </w:tcPr>
          <w:p w14:paraId="00FBD3F0">
            <w:pPr>
              <w:jc w:val="center"/>
              <w:rPr>
                <w:b/>
                <w:bCs/>
                <w:sz w:val="22"/>
                <w:szCs w:val="22"/>
                <w:lang w:val="ru-RU" w:eastAsia="ru-RU"/>
              </w:rPr>
            </w:pPr>
            <w:r>
              <w:rPr>
                <w:b/>
                <w:bCs/>
                <w:sz w:val="22"/>
                <w:szCs w:val="22"/>
                <w:lang w:val="ru-RU" w:eastAsia="ru-RU"/>
              </w:rPr>
              <w:t>Общая цена</w:t>
            </w:r>
          </w:p>
          <w:p w14:paraId="57FE5136">
            <w:pPr>
              <w:jc w:val="center"/>
              <w:rPr>
                <w:b/>
                <w:bCs/>
                <w:sz w:val="22"/>
                <w:szCs w:val="22"/>
                <w:lang w:val="ru-RU" w:eastAsia="ru-RU"/>
              </w:rPr>
            </w:pPr>
            <w:r>
              <w:rPr>
                <w:b/>
                <w:bCs/>
                <w:sz w:val="22"/>
                <w:szCs w:val="22"/>
                <w:lang w:val="ru-RU" w:eastAsia="ru-RU"/>
              </w:rPr>
              <w:t>до конечного пункта (</w:t>
            </w:r>
            <w:r>
              <w:rPr>
                <w:sz w:val="22"/>
                <w:szCs w:val="22"/>
                <w:lang w:val="ru-RU" w:eastAsia="ru-RU"/>
              </w:rPr>
              <w:t>в т.ч. все налоги, таможенные пошлины, сборы, стоимость внутренней транспортировки и страхование</w:t>
            </w:r>
            <w:r>
              <w:rPr>
                <w:b/>
                <w:bCs/>
                <w:sz w:val="22"/>
                <w:szCs w:val="22"/>
                <w:lang w:val="ru-RU" w:eastAsia="ru-RU"/>
              </w:rPr>
              <w:t>)</w:t>
            </w:r>
          </w:p>
          <w:p w14:paraId="527E7935">
            <w:pPr>
              <w:jc w:val="center"/>
              <w:rPr>
                <w:bCs/>
                <w:sz w:val="22"/>
                <w:szCs w:val="22"/>
                <w:lang w:val="ru-RU"/>
              </w:rPr>
            </w:pPr>
            <w:r>
              <w:rPr>
                <w:bCs/>
                <w:sz w:val="22"/>
                <w:szCs w:val="22"/>
                <w:lang w:val="ru-RU" w:eastAsia="ru-RU"/>
              </w:rPr>
              <w:t>(сом)</w:t>
            </w:r>
          </w:p>
        </w:tc>
        <w:tc>
          <w:tcPr>
            <w:tcW w:w="1712" w:type="dxa"/>
            <w:tcBorders>
              <w:top w:val="double" w:color="auto" w:sz="4" w:space="0"/>
              <w:left w:val="single" w:color="auto" w:sz="6" w:space="0"/>
              <w:bottom w:val="single" w:color="auto" w:sz="6" w:space="0"/>
              <w:right w:val="double" w:color="auto" w:sz="4" w:space="0"/>
            </w:tcBorders>
            <w:shd w:val="clear" w:color="auto" w:fill="D9D9D9"/>
            <w:vAlign w:val="center"/>
          </w:tcPr>
          <w:p w14:paraId="58FCBD78">
            <w:pPr>
              <w:jc w:val="center"/>
              <w:rPr>
                <w:b/>
                <w:bCs/>
                <w:sz w:val="22"/>
                <w:szCs w:val="22"/>
                <w:lang w:val="ru-RU"/>
              </w:rPr>
            </w:pPr>
            <w:r>
              <w:rPr>
                <w:b/>
                <w:bCs/>
                <w:sz w:val="22"/>
                <w:szCs w:val="22"/>
                <w:lang w:val="ru-RU"/>
              </w:rPr>
              <w:t>Срок и место</w:t>
            </w:r>
          </w:p>
          <w:p w14:paraId="72FD8EEA">
            <w:pPr>
              <w:jc w:val="center"/>
              <w:rPr>
                <w:b/>
                <w:bCs/>
                <w:sz w:val="22"/>
                <w:szCs w:val="22"/>
                <w:lang w:val="ru-RU"/>
              </w:rPr>
            </w:pPr>
            <w:r>
              <w:rPr>
                <w:b/>
                <w:bCs/>
                <w:sz w:val="22"/>
                <w:szCs w:val="22"/>
                <w:lang w:val="ru-RU"/>
              </w:rPr>
              <w:t>поставки</w:t>
            </w:r>
          </w:p>
        </w:tc>
      </w:tr>
      <w:tr w14:paraId="7161CC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22" w:type="dxa"/>
          <w:trHeight w:val="254" w:hRule="atLeast"/>
        </w:trPr>
        <w:tc>
          <w:tcPr>
            <w:tcW w:w="710" w:type="dxa"/>
            <w:tcBorders>
              <w:top w:val="single" w:color="auto" w:sz="6" w:space="0"/>
              <w:left w:val="double" w:color="auto" w:sz="4" w:space="0"/>
              <w:right w:val="single" w:color="auto" w:sz="6" w:space="0"/>
            </w:tcBorders>
            <w:vAlign w:val="center"/>
          </w:tcPr>
          <w:p w14:paraId="0988C520">
            <w:pPr>
              <w:jc w:val="center"/>
              <w:rPr>
                <w:b/>
                <w:lang w:val="ru-RU"/>
              </w:rPr>
            </w:pPr>
            <w:r>
              <w:rPr>
                <w:b/>
                <w:lang w:val="ru-RU"/>
              </w:rPr>
              <w:t>1</w:t>
            </w:r>
          </w:p>
        </w:tc>
        <w:tc>
          <w:tcPr>
            <w:tcW w:w="2249" w:type="dxa"/>
            <w:tcBorders>
              <w:top w:val="single" w:color="auto" w:sz="6" w:space="0"/>
              <w:left w:val="single" w:color="auto" w:sz="6" w:space="0"/>
              <w:right w:val="single" w:color="auto" w:sz="6" w:space="0"/>
            </w:tcBorders>
          </w:tcPr>
          <w:p w14:paraId="5EFF181E">
            <w:pPr>
              <w:pStyle w:val="28"/>
              <w:rPr>
                <w:lang w:val="ky-KG"/>
              </w:rPr>
            </w:pPr>
            <w:r>
              <w:t>Дизельный генератор (30 кВт)</w:t>
            </w:r>
          </w:p>
        </w:tc>
        <w:tc>
          <w:tcPr>
            <w:tcW w:w="851" w:type="dxa"/>
            <w:tcBorders>
              <w:top w:val="single" w:color="auto" w:sz="6" w:space="0"/>
              <w:left w:val="single" w:color="auto" w:sz="6" w:space="0"/>
              <w:right w:val="single" w:color="auto" w:sz="6" w:space="0"/>
            </w:tcBorders>
            <w:vAlign w:val="center"/>
          </w:tcPr>
          <w:p w14:paraId="7B4D1947">
            <w:pPr>
              <w:spacing w:before="240" w:line="276" w:lineRule="auto"/>
              <w:contextualSpacing/>
              <w:jc w:val="center"/>
              <w:rPr>
                <w:lang w:val="ru-RU" w:eastAsia="ru-RU"/>
              </w:rPr>
            </w:pPr>
            <w:r>
              <w:rPr>
                <w:lang w:val="ru-RU"/>
              </w:rPr>
              <w:t>шт</w:t>
            </w:r>
          </w:p>
        </w:tc>
        <w:tc>
          <w:tcPr>
            <w:tcW w:w="708" w:type="dxa"/>
            <w:tcBorders>
              <w:top w:val="single" w:color="auto" w:sz="6" w:space="0"/>
              <w:left w:val="single" w:color="auto" w:sz="6" w:space="0"/>
              <w:right w:val="single" w:color="auto" w:sz="6" w:space="0"/>
            </w:tcBorders>
            <w:vAlign w:val="center"/>
          </w:tcPr>
          <w:p w14:paraId="57CFA596">
            <w:pPr>
              <w:spacing w:before="240" w:line="276" w:lineRule="auto"/>
              <w:contextualSpacing/>
              <w:jc w:val="center"/>
              <w:rPr>
                <w:lang w:val="ru-RU"/>
              </w:rPr>
            </w:pPr>
            <w:r>
              <w:rPr>
                <w:lang w:val="ru-RU"/>
              </w:rPr>
              <w:t>1</w:t>
            </w:r>
          </w:p>
        </w:tc>
        <w:tc>
          <w:tcPr>
            <w:tcW w:w="1373" w:type="dxa"/>
            <w:tcBorders>
              <w:top w:val="single" w:color="auto" w:sz="6" w:space="0"/>
              <w:left w:val="single" w:color="auto" w:sz="6" w:space="0"/>
              <w:right w:val="single" w:color="auto" w:sz="6" w:space="0"/>
            </w:tcBorders>
            <w:vAlign w:val="center"/>
          </w:tcPr>
          <w:p w14:paraId="541061CE">
            <w:pPr>
              <w:rPr>
                <w:b/>
                <w:bCs/>
                <w:lang w:val="ru-RU"/>
              </w:rPr>
            </w:pPr>
          </w:p>
        </w:tc>
        <w:tc>
          <w:tcPr>
            <w:tcW w:w="1481" w:type="dxa"/>
            <w:tcBorders>
              <w:top w:val="single" w:color="auto" w:sz="6" w:space="0"/>
              <w:left w:val="single" w:color="auto" w:sz="6" w:space="0"/>
              <w:right w:val="single" w:color="auto" w:sz="6" w:space="0"/>
            </w:tcBorders>
            <w:vAlign w:val="center"/>
          </w:tcPr>
          <w:p w14:paraId="1384EE69">
            <w:pPr>
              <w:rPr>
                <w:b/>
                <w:bCs/>
                <w:lang w:val="ru-RU"/>
              </w:rPr>
            </w:pPr>
          </w:p>
        </w:tc>
        <w:tc>
          <w:tcPr>
            <w:tcW w:w="1559" w:type="dxa"/>
            <w:tcBorders>
              <w:top w:val="single" w:color="auto" w:sz="6" w:space="0"/>
              <w:left w:val="single" w:color="auto" w:sz="6" w:space="0"/>
              <w:right w:val="single" w:color="auto" w:sz="6" w:space="0"/>
            </w:tcBorders>
            <w:vAlign w:val="center"/>
          </w:tcPr>
          <w:p w14:paraId="6DBAEC10">
            <w:pPr>
              <w:rPr>
                <w:b/>
                <w:bCs/>
                <w:lang w:val="ru-RU"/>
              </w:rPr>
            </w:pPr>
          </w:p>
        </w:tc>
        <w:tc>
          <w:tcPr>
            <w:tcW w:w="1712" w:type="dxa"/>
            <w:vMerge w:val="restart"/>
            <w:tcBorders>
              <w:top w:val="single" w:color="auto" w:sz="6" w:space="0"/>
              <w:left w:val="single" w:color="auto" w:sz="6" w:space="0"/>
              <w:right w:val="double" w:color="auto" w:sz="4" w:space="0"/>
            </w:tcBorders>
            <w:vAlign w:val="center"/>
          </w:tcPr>
          <w:p w14:paraId="36FF0B50">
            <w:pPr>
              <w:jc w:val="center"/>
              <w:rPr>
                <w:bCs/>
                <w:sz w:val="22"/>
                <w:szCs w:val="22"/>
                <w:lang w:val="ru-RU"/>
              </w:rPr>
            </w:pPr>
            <w:r>
              <w:rPr>
                <w:bCs/>
                <w:sz w:val="22"/>
                <w:szCs w:val="22"/>
                <w:lang w:val="ru-RU"/>
              </w:rPr>
              <w:t xml:space="preserve">60 (шестьдесят) дней с момента подписания контракта до конечного пункта назначения, указанному в пункте </w:t>
            </w:r>
            <w:r>
              <w:rPr>
                <w:b/>
                <w:sz w:val="22"/>
                <w:szCs w:val="22"/>
                <w:lang w:val="ru-RU"/>
              </w:rPr>
              <w:t>«</w:t>
            </w:r>
            <w:r>
              <w:rPr>
                <w:bCs/>
                <w:sz w:val="22"/>
                <w:szCs w:val="22"/>
                <w:lang w:val="ru-RU"/>
              </w:rPr>
              <w:t>Доставка и документы</w:t>
            </w:r>
            <w:r>
              <w:rPr>
                <w:b/>
                <w:sz w:val="22"/>
                <w:szCs w:val="22"/>
                <w:lang w:val="ru-RU"/>
              </w:rPr>
              <w:t>»</w:t>
            </w:r>
          </w:p>
        </w:tc>
      </w:tr>
      <w:tr w14:paraId="613833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22" w:type="dxa"/>
          <w:trHeight w:val="90" w:hRule="atLeast"/>
        </w:trPr>
        <w:tc>
          <w:tcPr>
            <w:tcW w:w="710" w:type="dxa"/>
            <w:tcBorders>
              <w:left w:val="double" w:color="auto" w:sz="4" w:space="0"/>
              <w:right w:val="single" w:color="auto" w:sz="6" w:space="0"/>
            </w:tcBorders>
            <w:vAlign w:val="center"/>
          </w:tcPr>
          <w:p w14:paraId="4FE7E125">
            <w:pPr>
              <w:jc w:val="center"/>
              <w:rPr>
                <w:b/>
                <w:lang w:val="ru-RU"/>
              </w:rPr>
            </w:pPr>
            <w:r>
              <w:rPr>
                <w:b/>
                <w:lang w:val="ru-RU"/>
              </w:rPr>
              <w:t>2</w:t>
            </w:r>
          </w:p>
        </w:tc>
        <w:tc>
          <w:tcPr>
            <w:tcW w:w="2249" w:type="dxa"/>
            <w:tcBorders>
              <w:top w:val="single" w:color="auto" w:sz="4" w:space="0"/>
              <w:left w:val="single" w:color="auto" w:sz="6" w:space="0"/>
              <w:bottom w:val="single" w:color="auto" w:sz="4" w:space="0"/>
              <w:right w:val="single" w:color="auto" w:sz="6" w:space="0"/>
            </w:tcBorders>
          </w:tcPr>
          <w:p w14:paraId="0DB51865">
            <w:pPr>
              <w:contextualSpacing/>
              <w:rPr>
                <w:color w:val="000000"/>
                <w:lang w:val="ru-RU"/>
              </w:rPr>
            </w:pPr>
            <w:r>
              <w:rPr>
                <w:rFonts w:eastAsia="SimSun"/>
              </w:rPr>
              <w:t>Комплект уличного зонта</w:t>
            </w:r>
          </w:p>
        </w:tc>
        <w:tc>
          <w:tcPr>
            <w:tcW w:w="851" w:type="dxa"/>
            <w:tcBorders>
              <w:top w:val="single" w:color="auto" w:sz="4" w:space="0"/>
              <w:left w:val="single" w:color="auto" w:sz="6" w:space="0"/>
              <w:bottom w:val="single" w:color="auto" w:sz="4" w:space="0"/>
              <w:right w:val="single" w:color="auto" w:sz="6" w:space="0"/>
            </w:tcBorders>
            <w:vAlign w:val="center"/>
          </w:tcPr>
          <w:p w14:paraId="777586E5">
            <w:pPr>
              <w:spacing w:before="240" w:line="276" w:lineRule="auto"/>
              <w:contextualSpacing/>
              <w:jc w:val="center"/>
              <w:rPr>
                <w:lang w:val="ru-RU" w:eastAsia="ru-RU"/>
              </w:rPr>
            </w:pPr>
            <w:r>
              <w:rPr>
                <w:lang w:val="ru-RU"/>
              </w:rPr>
              <w:t>шт</w:t>
            </w:r>
          </w:p>
        </w:tc>
        <w:tc>
          <w:tcPr>
            <w:tcW w:w="708" w:type="dxa"/>
            <w:tcBorders>
              <w:top w:val="single" w:color="auto" w:sz="4" w:space="0"/>
              <w:left w:val="single" w:color="auto" w:sz="6" w:space="0"/>
              <w:bottom w:val="single" w:color="auto" w:sz="4" w:space="0"/>
              <w:right w:val="single" w:color="auto" w:sz="6" w:space="0"/>
            </w:tcBorders>
            <w:vAlign w:val="center"/>
          </w:tcPr>
          <w:p w14:paraId="72C505D6">
            <w:pPr>
              <w:spacing w:before="240" w:line="276" w:lineRule="auto"/>
              <w:contextualSpacing/>
              <w:jc w:val="center"/>
              <w:rPr>
                <w:lang w:val="ru-RU"/>
              </w:rPr>
            </w:pPr>
            <w:r>
              <w:rPr>
                <w:lang w:val="ru-RU"/>
              </w:rPr>
              <w:t>5</w:t>
            </w:r>
          </w:p>
        </w:tc>
        <w:tc>
          <w:tcPr>
            <w:tcW w:w="1373" w:type="dxa"/>
            <w:tcBorders>
              <w:top w:val="single" w:color="auto" w:sz="4" w:space="0"/>
              <w:left w:val="single" w:color="auto" w:sz="6" w:space="0"/>
              <w:bottom w:val="single" w:color="auto" w:sz="4" w:space="0"/>
              <w:right w:val="single" w:color="auto" w:sz="6" w:space="0"/>
            </w:tcBorders>
            <w:vAlign w:val="center"/>
          </w:tcPr>
          <w:p w14:paraId="0B7DCC52">
            <w:pPr>
              <w:rPr>
                <w:b/>
                <w:bCs/>
                <w:lang w:val="ru-RU"/>
              </w:rPr>
            </w:pPr>
          </w:p>
        </w:tc>
        <w:tc>
          <w:tcPr>
            <w:tcW w:w="1481" w:type="dxa"/>
            <w:tcBorders>
              <w:top w:val="single" w:color="auto" w:sz="4" w:space="0"/>
              <w:left w:val="single" w:color="auto" w:sz="6" w:space="0"/>
              <w:bottom w:val="single" w:color="auto" w:sz="4" w:space="0"/>
              <w:right w:val="single" w:color="auto" w:sz="6" w:space="0"/>
            </w:tcBorders>
            <w:vAlign w:val="center"/>
          </w:tcPr>
          <w:p w14:paraId="741416B7">
            <w:pPr>
              <w:rPr>
                <w:b/>
                <w:bCs/>
                <w:lang w:val="ru-RU"/>
              </w:rPr>
            </w:pPr>
          </w:p>
        </w:tc>
        <w:tc>
          <w:tcPr>
            <w:tcW w:w="1559" w:type="dxa"/>
            <w:tcBorders>
              <w:top w:val="single" w:color="auto" w:sz="4" w:space="0"/>
              <w:left w:val="single" w:color="auto" w:sz="6" w:space="0"/>
              <w:bottom w:val="single" w:color="auto" w:sz="4" w:space="0"/>
              <w:right w:val="single" w:color="auto" w:sz="6" w:space="0"/>
            </w:tcBorders>
            <w:vAlign w:val="center"/>
          </w:tcPr>
          <w:p w14:paraId="41B85BC6">
            <w:pPr>
              <w:rPr>
                <w:b/>
                <w:bCs/>
                <w:lang w:val="ru-RU"/>
              </w:rPr>
            </w:pPr>
          </w:p>
        </w:tc>
        <w:tc>
          <w:tcPr>
            <w:tcW w:w="1712" w:type="dxa"/>
            <w:vMerge w:val="continue"/>
            <w:tcBorders>
              <w:left w:val="single" w:color="auto" w:sz="6" w:space="0"/>
              <w:right w:val="double" w:color="auto" w:sz="4" w:space="0"/>
            </w:tcBorders>
            <w:vAlign w:val="center"/>
          </w:tcPr>
          <w:p w14:paraId="58A586FB">
            <w:pPr>
              <w:jc w:val="both"/>
              <w:rPr>
                <w:bCs/>
                <w:sz w:val="22"/>
                <w:szCs w:val="22"/>
                <w:lang w:val="ru-RU"/>
              </w:rPr>
            </w:pPr>
          </w:p>
        </w:tc>
      </w:tr>
      <w:tr w14:paraId="5FD455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22" w:type="dxa"/>
          <w:trHeight w:val="675" w:hRule="atLeast"/>
        </w:trPr>
        <w:tc>
          <w:tcPr>
            <w:tcW w:w="710" w:type="dxa"/>
            <w:tcBorders>
              <w:left w:val="double" w:color="auto" w:sz="4" w:space="0"/>
              <w:right w:val="single" w:color="auto" w:sz="6" w:space="0"/>
            </w:tcBorders>
            <w:vAlign w:val="center"/>
          </w:tcPr>
          <w:p w14:paraId="440AB0AB">
            <w:pPr>
              <w:jc w:val="center"/>
              <w:rPr>
                <w:b/>
                <w:lang w:val="ru-RU"/>
              </w:rPr>
            </w:pPr>
            <w:r>
              <w:rPr>
                <w:b/>
                <w:lang w:val="ru-RU"/>
              </w:rPr>
              <w:t>3</w:t>
            </w:r>
          </w:p>
        </w:tc>
        <w:tc>
          <w:tcPr>
            <w:tcW w:w="2249" w:type="dxa"/>
            <w:tcBorders>
              <w:top w:val="single" w:color="auto" w:sz="4" w:space="0"/>
              <w:left w:val="single" w:color="auto" w:sz="6" w:space="0"/>
              <w:right w:val="single" w:color="auto" w:sz="6" w:space="0"/>
            </w:tcBorders>
          </w:tcPr>
          <w:p w14:paraId="69286623">
            <w:pPr>
              <w:contextualSpacing/>
              <w:rPr>
                <w:color w:val="000000"/>
                <w:lang w:val="ru-RU"/>
              </w:rPr>
            </w:pPr>
            <w:r>
              <w:rPr>
                <w:rFonts w:eastAsia="SimSun"/>
                <w:lang w:val="ru-RU"/>
              </w:rPr>
              <w:t>Комплект летней уличной мебели (стол и стулья)</w:t>
            </w:r>
          </w:p>
        </w:tc>
        <w:tc>
          <w:tcPr>
            <w:tcW w:w="851" w:type="dxa"/>
            <w:tcBorders>
              <w:top w:val="single" w:color="auto" w:sz="4" w:space="0"/>
              <w:left w:val="single" w:color="auto" w:sz="6" w:space="0"/>
              <w:right w:val="single" w:color="auto" w:sz="6" w:space="0"/>
            </w:tcBorders>
            <w:vAlign w:val="center"/>
          </w:tcPr>
          <w:p w14:paraId="4DE33AA2">
            <w:pPr>
              <w:spacing w:before="240" w:line="276" w:lineRule="auto"/>
              <w:contextualSpacing/>
              <w:jc w:val="center"/>
              <w:rPr>
                <w:lang w:val="ru-RU" w:eastAsia="ru-RU"/>
              </w:rPr>
            </w:pPr>
            <w:r>
              <w:rPr>
                <w:rFonts w:eastAsia="SimSun"/>
              </w:rPr>
              <w:t xml:space="preserve">Комплект </w:t>
            </w:r>
          </w:p>
        </w:tc>
        <w:tc>
          <w:tcPr>
            <w:tcW w:w="708" w:type="dxa"/>
            <w:tcBorders>
              <w:top w:val="single" w:color="auto" w:sz="4" w:space="0"/>
              <w:left w:val="single" w:color="auto" w:sz="6" w:space="0"/>
              <w:right w:val="single" w:color="auto" w:sz="6" w:space="0"/>
            </w:tcBorders>
            <w:vAlign w:val="center"/>
          </w:tcPr>
          <w:p w14:paraId="214D449A">
            <w:pPr>
              <w:spacing w:before="240" w:line="276" w:lineRule="auto"/>
              <w:contextualSpacing/>
              <w:jc w:val="center"/>
              <w:rPr>
                <w:lang w:val="ru-RU"/>
              </w:rPr>
            </w:pPr>
            <w:r>
              <w:rPr>
                <w:lang w:val="ru-RU"/>
              </w:rPr>
              <w:t>7</w:t>
            </w:r>
          </w:p>
        </w:tc>
        <w:tc>
          <w:tcPr>
            <w:tcW w:w="1373" w:type="dxa"/>
            <w:tcBorders>
              <w:top w:val="single" w:color="auto" w:sz="4" w:space="0"/>
              <w:left w:val="single" w:color="auto" w:sz="6" w:space="0"/>
              <w:right w:val="single" w:color="auto" w:sz="6" w:space="0"/>
            </w:tcBorders>
            <w:vAlign w:val="center"/>
          </w:tcPr>
          <w:p w14:paraId="2C4D8311">
            <w:pPr>
              <w:rPr>
                <w:b/>
                <w:bCs/>
                <w:lang w:val="ru-RU"/>
              </w:rPr>
            </w:pPr>
          </w:p>
        </w:tc>
        <w:tc>
          <w:tcPr>
            <w:tcW w:w="1481" w:type="dxa"/>
            <w:tcBorders>
              <w:top w:val="single" w:color="auto" w:sz="4" w:space="0"/>
              <w:left w:val="single" w:color="auto" w:sz="6" w:space="0"/>
              <w:right w:val="single" w:color="auto" w:sz="6" w:space="0"/>
            </w:tcBorders>
            <w:vAlign w:val="center"/>
          </w:tcPr>
          <w:p w14:paraId="34A9E2B7">
            <w:pPr>
              <w:rPr>
                <w:b/>
                <w:bCs/>
                <w:lang w:val="ru-RU"/>
              </w:rPr>
            </w:pPr>
          </w:p>
        </w:tc>
        <w:tc>
          <w:tcPr>
            <w:tcW w:w="1559" w:type="dxa"/>
            <w:tcBorders>
              <w:top w:val="single" w:color="auto" w:sz="4" w:space="0"/>
              <w:left w:val="single" w:color="auto" w:sz="6" w:space="0"/>
              <w:right w:val="single" w:color="auto" w:sz="6" w:space="0"/>
            </w:tcBorders>
            <w:vAlign w:val="center"/>
          </w:tcPr>
          <w:p w14:paraId="746B6184">
            <w:pPr>
              <w:rPr>
                <w:b/>
                <w:bCs/>
                <w:lang w:val="ru-RU"/>
              </w:rPr>
            </w:pPr>
          </w:p>
        </w:tc>
        <w:tc>
          <w:tcPr>
            <w:tcW w:w="1712" w:type="dxa"/>
            <w:vMerge w:val="continue"/>
            <w:tcBorders>
              <w:left w:val="single" w:color="auto" w:sz="6" w:space="0"/>
              <w:right w:val="double" w:color="auto" w:sz="4" w:space="0"/>
            </w:tcBorders>
            <w:vAlign w:val="center"/>
          </w:tcPr>
          <w:p w14:paraId="5688F964">
            <w:pPr>
              <w:jc w:val="both"/>
              <w:rPr>
                <w:bCs/>
                <w:sz w:val="22"/>
                <w:szCs w:val="22"/>
                <w:lang w:val="ru-RU"/>
              </w:rPr>
            </w:pPr>
          </w:p>
        </w:tc>
      </w:tr>
      <w:tr w14:paraId="4ACA23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22" w:type="dxa"/>
          <w:trHeight w:val="675" w:hRule="atLeast"/>
        </w:trPr>
        <w:tc>
          <w:tcPr>
            <w:tcW w:w="710" w:type="dxa"/>
            <w:tcBorders>
              <w:left w:val="double" w:color="auto" w:sz="4" w:space="0"/>
              <w:right w:val="single" w:color="auto" w:sz="6" w:space="0"/>
            </w:tcBorders>
            <w:vAlign w:val="center"/>
          </w:tcPr>
          <w:p w14:paraId="6FE6F02F">
            <w:pPr>
              <w:jc w:val="center"/>
              <w:rPr>
                <w:b/>
                <w:lang w:val="ru-RU"/>
              </w:rPr>
            </w:pPr>
            <w:r>
              <w:rPr>
                <w:b/>
                <w:lang w:val="ru-RU"/>
              </w:rPr>
              <w:t>4</w:t>
            </w:r>
          </w:p>
        </w:tc>
        <w:tc>
          <w:tcPr>
            <w:tcW w:w="2249" w:type="dxa"/>
            <w:tcBorders>
              <w:top w:val="single" w:color="auto" w:sz="4" w:space="0"/>
              <w:left w:val="single" w:color="auto" w:sz="6" w:space="0"/>
              <w:right w:val="single" w:color="auto" w:sz="6" w:space="0"/>
            </w:tcBorders>
          </w:tcPr>
          <w:p w14:paraId="09993955">
            <w:pPr>
              <w:contextualSpacing/>
              <w:rPr>
                <w:color w:val="000000"/>
                <w:lang w:val="ru-RU"/>
              </w:rPr>
            </w:pPr>
            <w:r>
              <w:rPr>
                <w:rFonts w:eastAsia="SimSun"/>
              </w:rPr>
              <w:t>Профессиональный газовый мангал</w:t>
            </w:r>
          </w:p>
        </w:tc>
        <w:tc>
          <w:tcPr>
            <w:tcW w:w="851" w:type="dxa"/>
            <w:tcBorders>
              <w:top w:val="single" w:color="auto" w:sz="4" w:space="0"/>
              <w:left w:val="single" w:color="auto" w:sz="6" w:space="0"/>
              <w:right w:val="single" w:color="auto" w:sz="6" w:space="0"/>
            </w:tcBorders>
            <w:vAlign w:val="center"/>
          </w:tcPr>
          <w:p w14:paraId="563927E7">
            <w:pPr>
              <w:spacing w:before="240" w:line="276" w:lineRule="auto"/>
              <w:contextualSpacing/>
              <w:jc w:val="center"/>
              <w:rPr>
                <w:lang w:val="ru-RU" w:eastAsia="ru-RU"/>
              </w:rPr>
            </w:pPr>
            <w:r>
              <w:rPr>
                <w:lang w:val="ru-RU"/>
              </w:rPr>
              <w:t>шт</w:t>
            </w:r>
          </w:p>
        </w:tc>
        <w:tc>
          <w:tcPr>
            <w:tcW w:w="708" w:type="dxa"/>
            <w:tcBorders>
              <w:top w:val="single" w:color="auto" w:sz="4" w:space="0"/>
              <w:left w:val="single" w:color="auto" w:sz="6" w:space="0"/>
              <w:right w:val="single" w:color="auto" w:sz="6" w:space="0"/>
            </w:tcBorders>
            <w:vAlign w:val="center"/>
          </w:tcPr>
          <w:p w14:paraId="69BCA155">
            <w:pPr>
              <w:spacing w:before="240" w:line="276" w:lineRule="auto"/>
              <w:contextualSpacing/>
              <w:jc w:val="center"/>
              <w:rPr>
                <w:lang w:val="ru-RU"/>
              </w:rPr>
            </w:pPr>
            <w:r>
              <w:rPr>
                <w:lang w:val="ru-RU"/>
              </w:rPr>
              <w:t>1</w:t>
            </w:r>
          </w:p>
        </w:tc>
        <w:tc>
          <w:tcPr>
            <w:tcW w:w="1373" w:type="dxa"/>
            <w:tcBorders>
              <w:top w:val="single" w:color="auto" w:sz="4" w:space="0"/>
              <w:left w:val="single" w:color="auto" w:sz="6" w:space="0"/>
              <w:right w:val="single" w:color="auto" w:sz="6" w:space="0"/>
            </w:tcBorders>
            <w:vAlign w:val="center"/>
          </w:tcPr>
          <w:p w14:paraId="0486209C">
            <w:pPr>
              <w:rPr>
                <w:b/>
                <w:bCs/>
                <w:lang w:val="ru-RU"/>
              </w:rPr>
            </w:pPr>
          </w:p>
        </w:tc>
        <w:tc>
          <w:tcPr>
            <w:tcW w:w="1481" w:type="dxa"/>
            <w:tcBorders>
              <w:top w:val="single" w:color="auto" w:sz="4" w:space="0"/>
              <w:left w:val="single" w:color="auto" w:sz="6" w:space="0"/>
              <w:right w:val="single" w:color="auto" w:sz="6" w:space="0"/>
            </w:tcBorders>
            <w:vAlign w:val="center"/>
          </w:tcPr>
          <w:p w14:paraId="289DB546">
            <w:pPr>
              <w:rPr>
                <w:b/>
                <w:bCs/>
                <w:lang w:val="ru-RU"/>
              </w:rPr>
            </w:pPr>
          </w:p>
        </w:tc>
        <w:tc>
          <w:tcPr>
            <w:tcW w:w="1559" w:type="dxa"/>
            <w:tcBorders>
              <w:top w:val="single" w:color="auto" w:sz="4" w:space="0"/>
              <w:left w:val="single" w:color="auto" w:sz="6" w:space="0"/>
              <w:right w:val="single" w:color="auto" w:sz="6" w:space="0"/>
            </w:tcBorders>
            <w:vAlign w:val="center"/>
          </w:tcPr>
          <w:p w14:paraId="45400589">
            <w:pPr>
              <w:rPr>
                <w:b/>
                <w:bCs/>
                <w:lang w:val="ru-RU"/>
              </w:rPr>
            </w:pPr>
          </w:p>
        </w:tc>
        <w:tc>
          <w:tcPr>
            <w:tcW w:w="1712" w:type="dxa"/>
            <w:vMerge w:val="continue"/>
            <w:tcBorders>
              <w:left w:val="single" w:color="auto" w:sz="6" w:space="0"/>
              <w:right w:val="double" w:color="auto" w:sz="4" w:space="0"/>
            </w:tcBorders>
            <w:vAlign w:val="center"/>
          </w:tcPr>
          <w:p w14:paraId="44214112">
            <w:pPr>
              <w:jc w:val="both"/>
              <w:rPr>
                <w:bCs/>
                <w:sz w:val="22"/>
                <w:szCs w:val="22"/>
                <w:lang w:val="ru-RU"/>
              </w:rPr>
            </w:pPr>
          </w:p>
        </w:tc>
      </w:tr>
      <w:tr w14:paraId="31E097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 w:hRule="atLeast"/>
        </w:trPr>
        <w:tc>
          <w:tcPr>
            <w:tcW w:w="710" w:type="dxa"/>
            <w:tcBorders>
              <w:top w:val="single" w:color="auto" w:sz="6" w:space="0"/>
              <w:left w:val="double" w:color="auto" w:sz="4" w:space="0"/>
              <w:bottom w:val="double" w:color="auto" w:sz="4" w:space="0"/>
              <w:right w:val="single" w:color="auto" w:sz="6" w:space="0"/>
            </w:tcBorders>
            <w:vAlign w:val="center"/>
          </w:tcPr>
          <w:p w14:paraId="47BC4A42">
            <w:pPr>
              <w:rPr>
                <w:lang w:val="ru-RU"/>
              </w:rPr>
            </w:pPr>
          </w:p>
        </w:tc>
        <w:tc>
          <w:tcPr>
            <w:tcW w:w="6662" w:type="dxa"/>
            <w:gridSpan w:val="5"/>
            <w:tcBorders>
              <w:top w:val="single" w:color="auto" w:sz="6" w:space="0"/>
              <w:left w:val="single" w:color="auto" w:sz="6" w:space="0"/>
              <w:bottom w:val="double" w:color="auto" w:sz="4" w:space="0"/>
              <w:right w:val="single" w:color="auto" w:sz="6" w:space="0"/>
            </w:tcBorders>
            <w:vAlign w:val="center"/>
          </w:tcPr>
          <w:p w14:paraId="1D798FC9">
            <w:pPr>
              <w:jc w:val="right"/>
              <w:rPr>
                <w:lang w:val="ru-RU"/>
              </w:rPr>
            </w:pPr>
            <w:r>
              <w:rPr>
                <w:b/>
                <w:lang w:val="ru-RU"/>
              </w:rPr>
              <w:t>Итого:</w:t>
            </w:r>
          </w:p>
        </w:tc>
        <w:tc>
          <w:tcPr>
            <w:tcW w:w="1559" w:type="dxa"/>
            <w:tcBorders>
              <w:top w:val="single" w:color="auto" w:sz="6" w:space="0"/>
              <w:left w:val="single" w:color="auto" w:sz="6" w:space="0"/>
              <w:bottom w:val="double" w:color="auto" w:sz="4" w:space="0"/>
              <w:right w:val="single" w:color="auto" w:sz="6" w:space="0"/>
            </w:tcBorders>
            <w:vAlign w:val="center"/>
          </w:tcPr>
          <w:p w14:paraId="5B8DC246">
            <w:pPr>
              <w:rPr>
                <w:b/>
                <w:bCs/>
                <w:lang w:val="ru-RU"/>
              </w:rPr>
            </w:pPr>
            <w:r>
              <w:rPr>
                <w:b/>
                <w:bCs/>
                <w:lang w:val="ru-RU"/>
              </w:rPr>
              <w:t xml:space="preserve"> </w:t>
            </w:r>
          </w:p>
        </w:tc>
        <w:tc>
          <w:tcPr>
            <w:tcW w:w="1734" w:type="dxa"/>
            <w:gridSpan w:val="2"/>
            <w:tcBorders>
              <w:top w:val="single" w:color="auto" w:sz="6" w:space="0"/>
              <w:left w:val="single" w:color="auto" w:sz="6" w:space="0"/>
              <w:bottom w:val="double" w:color="auto" w:sz="4" w:space="0"/>
              <w:right w:val="double" w:color="auto" w:sz="4" w:space="0"/>
            </w:tcBorders>
            <w:vAlign w:val="center"/>
          </w:tcPr>
          <w:p w14:paraId="6862D05E">
            <w:pPr>
              <w:jc w:val="both"/>
              <w:rPr>
                <w:bCs/>
                <w:lang w:val="ru-RU"/>
              </w:rPr>
            </w:pPr>
          </w:p>
        </w:tc>
      </w:tr>
    </w:tbl>
    <w:p w14:paraId="1018D65D">
      <w:pPr>
        <w:pStyle w:val="24"/>
        <w:jc w:val="both"/>
        <w:rPr>
          <w:lang w:val="ru-RU"/>
        </w:rPr>
      </w:pPr>
    </w:p>
    <w:p w14:paraId="23E47784">
      <w:pPr>
        <w:pStyle w:val="24"/>
        <w:jc w:val="both"/>
        <w:rPr>
          <w:bCs/>
          <w:i/>
          <w:iCs/>
          <w:lang w:val="ru-RU"/>
        </w:rPr>
      </w:pPr>
      <w:r>
        <w:rPr>
          <w:i/>
          <w:iCs/>
          <w:lang w:val="ru-RU"/>
        </w:rPr>
        <w:t xml:space="preserve">(Примечание: в случае расхождения между ценой за единицу товара и общей ценой, цена за единицу товара имеет преобладающую силу) </w:t>
      </w:r>
    </w:p>
    <w:p w14:paraId="0EC9D29B">
      <w:pPr>
        <w:jc w:val="both"/>
        <w:rPr>
          <w:lang w:val="ru-RU"/>
        </w:rPr>
      </w:pPr>
      <w:r>
        <w:rPr>
          <w:b/>
          <w:bCs/>
          <w:i/>
          <w:iCs/>
          <w:u w:val="single"/>
          <w:lang w:val="ru-RU"/>
        </w:rPr>
        <w:t>Руководство по эксплуатации</w:t>
      </w:r>
      <w:r>
        <w:rPr>
          <w:b/>
          <w:bCs/>
          <w:u w:val="single"/>
          <w:lang w:val="ru-RU"/>
        </w:rPr>
        <w:t>:</w:t>
      </w:r>
      <w:r>
        <w:rPr>
          <w:lang w:val="ru-RU"/>
        </w:rPr>
        <w:t xml:space="preserve"> Все наименования по данному заказу на Покупку должны сопровождаться руководством по эксплуатации на русском языке.</w:t>
      </w:r>
    </w:p>
    <w:p w14:paraId="6FA13B01">
      <w:pPr>
        <w:jc w:val="both"/>
        <w:rPr>
          <w:lang w:val="ru-RU"/>
        </w:rPr>
      </w:pPr>
    </w:p>
    <w:p w14:paraId="17618622">
      <w:pPr>
        <w:pStyle w:val="38"/>
        <w:numPr>
          <w:ilvl w:val="0"/>
          <w:numId w:val="11"/>
        </w:numPr>
        <w:spacing w:after="200"/>
        <w:ind w:left="0" w:firstLine="0"/>
        <w:contextualSpacing/>
        <w:jc w:val="both"/>
        <w:rPr>
          <w:lang w:val="ru-RU"/>
        </w:rPr>
      </w:pPr>
      <w:r>
        <w:rPr>
          <w:lang w:val="ru-RU"/>
        </w:rPr>
        <w:t>Период действия настоящего контракта начинается с «___» ____ 2026 года и завершается «____» ____ 2026 года.</w:t>
      </w:r>
    </w:p>
    <w:p w14:paraId="13638811">
      <w:pPr>
        <w:numPr>
          <w:ilvl w:val="0"/>
          <w:numId w:val="11"/>
        </w:numPr>
        <w:tabs>
          <w:tab w:val="left" w:pos="0"/>
        </w:tabs>
        <w:ind w:left="0" w:firstLine="0"/>
        <w:contextualSpacing/>
        <w:jc w:val="both"/>
        <w:rPr>
          <w:bCs/>
          <w:lang w:val="ru-RU"/>
        </w:rPr>
      </w:pPr>
      <w:r>
        <w:rPr>
          <w:bCs/>
          <w:u w:val="single"/>
          <w:lang w:val="ru-RU"/>
        </w:rPr>
        <w:t>Фиксированная цена:</w:t>
      </w:r>
      <w:r>
        <w:rPr>
          <w:bCs/>
          <w:lang w:val="ru-RU"/>
        </w:rPr>
        <w:t xml:space="preserve"> Вышеуказанные цены должны быть фиксированными и не подлежат изменениям во время исполнения контракта.</w:t>
      </w:r>
    </w:p>
    <w:p w14:paraId="6C67B31D">
      <w:pPr>
        <w:tabs>
          <w:tab w:val="left" w:pos="0"/>
        </w:tabs>
        <w:jc w:val="both"/>
        <w:rPr>
          <w:bCs/>
          <w:lang w:val="ru-RU"/>
        </w:rPr>
      </w:pPr>
    </w:p>
    <w:p w14:paraId="614F4F8D">
      <w:pPr>
        <w:numPr>
          <w:ilvl w:val="0"/>
          <w:numId w:val="11"/>
        </w:numPr>
        <w:tabs>
          <w:tab w:val="left" w:pos="0"/>
        </w:tabs>
        <w:ind w:left="0" w:firstLine="0"/>
        <w:contextualSpacing/>
        <w:jc w:val="both"/>
        <w:rPr>
          <w:lang w:val="ru-RU"/>
        </w:rPr>
      </w:pPr>
      <w:r>
        <w:rPr>
          <w:lang w:val="ru-RU"/>
        </w:rPr>
        <w:t xml:space="preserve">Покупатель оставляет за собой право во время подготовки контракта увеличить или уменьшить количество поставляемых товаров и услуг, первоначально указанных, на 10 процентов, без какого-либо изменения цен за единицу либо других условий и сроков.  </w:t>
      </w:r>
    </w:p>
    <w:p w14:paraId="3AABC358">
      <w:pPr>
        <w:tabs>
          <w:tab w:val="left" w:pos="0"/>
        </w:tabs>
        <w:jc w:val="both"/>
        <w:rPr>
          <w:lang w:val="ru-RU"/>
        </w:rPr>
      </w:pPr>
    </w:p>
    <w:p w14:paraId="6A71C8C1">
      <w:pPr>
        <w:numPr>
          <w:ilvl w:val="0"/>
          <w:numId w:val="11"/>
        </w:numPr>
        <w:tabs>
          <w:tab w:val="left" w:pos="0"/>
        </w:tabs>
        <w:ind w:left="0" w:firstLine="0"/>
        <w:contextualSpacing/>
        <w:jc w:val="both"/>
        <w:rPr>
          <w:bCs/>
          <w:lang w:val="ru-RU"/>
        </w:rPr>
      </w:pPr>
      <w:r>
        <w:rPr>
          <w:bCs/>
          <w:u w:val="single"/>
          <w:lang w:val="ru-RU"/>
        </w:rPr>
        <w:t>График поставки:</w:t>
      </w:r>
      <w:r>
        <w:rPr>
          <w:bCs/>
          <w:lang w:val="ru-RU"/>
        </w:rPr>
        <w:t xml:space="preserve"> поставку необходимо завершить согласно вышеуказанному графику, но не превышая 60 дней с даты подписания контракта.</w:t>
      </w:r>
    </w:p>
    <w:p w14:paraId="2A2F8063">
      <w:pPr>
        <w:jc w:val="both"/>
        <w:rPr>
          <w:bCs/>
          <w:lang w:val="ru-RU"/>
        </w:rPr>
      </w:pPr>
    </w:p>
    <w:p w14:paraId="7B5D1B7F">
      <w:pPr>
        <w:numPr>
          <w:ilvl w:val="0"/>
          <w:numId w:val="11"/>
        </w:numPr>
        <w:tabs>
          <w:tab w:val="left" w:pos="0"/>
        </w:tabs>
        <w:ind w:left="0" w:firstLine="0"/>
        <w:contextualSpacing/>
        <w:jc w:val="both"/>
        <w:rPr>
          <w:bCs/>
          <w:lang w:val="ru-RU"/>
        </w:rPr>
      </w:pPr>
      <w:r>
        <w:rPr>
          <w:bCs/>
          <w:u w:val="single"/>
          <w:lang w:val="ru-RU"/>
        </w:rPr>
        <w:t>Штрафные санкции</w:t>
      </w:r>
      <w:r>
        <w:rPr>
          <w:lang w:val="ru-RU"/>
        </w:rPr>
        <w:t>: В случае невыполнения контракта к указанному сроку Покупатель имеет право наложить штрафные санкции к Поставщику в размере 1,0% за каждую просроченную неделю от общей суммы контракта, но не более 10% от суммы контракта. Данный пункт не распространяется, если невыполнение контракта к сроку связано с форс-мажорными обстоятельствами.</w:t>
      </w:r>
    </w:p>
    <w:p w14:paraId="3DF4C68E">
      <w:pPr>
        <w:jc w:val="both"/>
        <w:rPr>
          <w:bCs/>
          <w:lang w:val="ru-RU"/>
        </w:rPr>
      </w:pPr>
    </w:p>
    <w:p w14:paraId="72721352">
      <w:pPr>
        <w:numPr>
          <w:ilvl w:val="0"/>
          <w:numId w:val="11"/>
        </w:numPr>
        <w:tabs>
          <w:tab w:val="left" w:pos="0"/>
        </w:tabs>
        <w:ind w:left="0" w:firstLine="0"/>
        <w:jc w:val="both"/>
        <w:rPr>
          <w:bCs/>
          <w:lang w:val="ru-RU"/>
        </w:rPr>
      </w:pPr>
      <w:r>
        <w:rPr>
          <w:bCs/>
          <w:u w:val="single"/>
          <w:lang w:val="ru-RU"/>
        </w:rPr>
        <w:t>Страхование</w:t>
      </w:r>
      <w:r>
        <w:rPr>
          <w:bCs/>
          <w:lang w:val="ru-RU"/>
        </w:rPr>
        <w:t xml:space="preserve">: </w:t>
      </w:r>
      <w:r>
        <w:rPr>
          <w:lang w:val="ru-RU"/>
        </w:rPr>
        <w:t>Товары, поставляемые по контракту, должны быть полностью застрахованы в свободно конвертируемой валюте на случай повреждений при их производстве, приобретении, транспортировке, хранении или доставке. Стоимость страховки должна составлять 110 % от полной стоимости товара «со склада до конечного пункта назначения, указанного в пункте 10 настоящего Контракта» с учетом всех рисков. Поставщик должен оформить и оплатить страхование груза, присваивая Покупателю статус бенефициара</w:t>
      </w:r>
      <w:r>
        <w:rPr>
          <w:bCs/>
          <w:lang w:val="ru-RU"/>
        </w:rPr>
        <w:t>.</w:t>
      </w:r>
    </w:p>
    <w:p w14:paraId="1D5C138C">
      <w:pPr>
        <w:ind w:hanging="720"/>
        <w:jc w:val="both"/>
        <w:rPr>
          <w:bCs/>
          <w:lang w:val="ru-RU"/>
        </w:rPr>
      </w:pPr>
    </w:p>
    <w:p w14:paraId="7066A4EB">
      <w:pPr>
        <w:pStyle w:val="38"/>
        <w:numPr>
          <w:ilvl w:val="0"/>
          <w:numId w:val="11"/>
        </w:numPr>
        <w:spacing w:after="200"/>
        <w:ind w:left="0" w:firstLine="0"/>
        <w:contextualSpacing/>
        <w:jc w:val="both"/>
        <w:rPr>
          <w:bCs/>
          <w:lang w:val="ru-RU"/>
        </w:rPr>
      </w:pPr>
      <w:r>
        <w:rPr>
          <w:bCs/>
          <w:u w:val="single"/>
          <w:lang w:val="ru-RU"/>
        </w:rPr>
        <w:t>Применимое законодательство:</w:t>
      </w:r>
      <w:r>
        <w:rPr>
          <w:bCs/>
          <w:lang w:val="ru-RU"/>
        </w:rPr>
        <w:t xml:space="preserve"> Контракт интерпретируется в соответствии с законами Кыргызской Республики.</w:t>
      </w:r>
    </w:p>
    <w:p w14:paraId="2CD1BB04">
      <w:pPr>
        <w:pStyle w:val="38"/>
        <w:spacing w:after="200"/>
        <w:ind w:left="0"/>
        <w:contextualSpacing/>
        <w:jc w:val="both"/>
        <w:rPr>
          <w:bCs/>
          <w:lang w:val="ru-RU"/>
        </w:rPr>
      </w:pPr>
    </w:p>
    <w:p w14:paraId="050054CF">
      <w:pPr>
        <w:pStyle w:val="38"/>
        <w:numPr>
          <w:ilvl w:val="0"/>
          <w:numId w:val="11"/>
        </w:numPr>
        <w:spacing w:after="200"/>
        <w:ind w:left="0" w:firstLine="0"/>
        <w:contextualSpacing/>
        <w:jc w:val="both"/>
        <w:rPr>
          <w:lang w:val="ru-RU"/>
        </w:rPr>
      </w:pPr>
      <w:r>
        <w:rPr>
          <w:u w:val="single"/>
          <w:lang w:val="ru-RU"/>
        </w:rPr>
        <w:t>Разрешение споров:</w:t>
      </w:r>
      <w:r>
        <w:rPr>
          <w:lang w:val="ru-RU"/>
        </w:rPr>
        <w:t xml:space="preserve"> Покупатель и Поставщик должны приложить все усилия при обоюдном разрешении споров или разногласий, возникших при выполнении Контракта, посредством прямых переговоров. В случае возникновения каких-либо споров или разногласий между Поставщиком и Покупателем, первые должны будут разрешаться в соответствие с процедурами, установленными страной Покупателя.</w:t>
      </w:r>
    </w:p>
    <w:p w14:paraId="78C24032">
      <w:pPr>
        <w:pStyle w:val="38"/>
        <w:ind w:left="0"/>
        <w:jc w:val="both"/>
        <w:rPr>
          <w:bCs/>
          <w:u w:val="single"/>
          <w:lang w:val="ru-RU"/>
        </w:rPr>
      </w:pPr>
    </w:p>
    <w:p w14:paraId="4F25A471">
      <w:pPr>
        <w:pStyle w:val="38"/>
        <w:numPr>
          <w:ilvl w:val="0"/>
          <w:numId w:val="12"/>
        </w:numPr>
        <w:spacing w:after="200"/>
        <w:ind w:left="720" w:hanging="720"/>
        <w:contextualSpacing/>
        <w:jc w:val="both"/>
        <w:rPr>
          <w:u w:val="single"/>
          <w:lang w:val="ru-RU"/>
        </w:rPr>
      </w:pPr>
      <w:r>
        <w:rPr>
          <w:bCs/>
          <w:u w:val="single"/>
          <w:lang w:val="ru-RU"/>
        </w:rPr>
        <w:t>Доставка и документы</w:t>
      </w:r>
      <w:r>
        <w:rPr>
          <w:bCs/>
          <w:lang w:val="ru-RU"/>
        </w:rPr>
        <w:t xml:space="preserve">: </w:t>
      </w:r>
      <w:r>
        <w:rPr>
          <w:lang w:val="ru-RU"/>
        </w:rPr>
        <w:t xml:space="preserve">Поставка должна осуществляться до указанного места назначения по адресу: </w:t>
      </w:r>
      <w:r>
        <w:rPr>
          <w:b/>
          <w:lang w:val="ru-RU"/>
        </w:rPr>
        <w:t>Кыргызская Республика,</w:t>
      </w:r>
      <w:r>
        <w:rPr>
          <w:rFonts w:eastAsia="SimSun"/>
          <w:b/>
          <w:bCs/>
          <w:lang w:val="ru-RU"/>
        </w:rPr>
        <w:t xml:space="preserve"> Кара-Сууйский</w:t>
      </w:r>
      <w:r>
        <w:rPr>
          <w:rFonts w:eastAsia="SimSun"/>
          <w:lang w:val="ru-RU"/>
        </w:rPr>
        <w:t xml:space="preserve"> </w:t>
      </w:r>
      <w:r>
        <w:rPr>
          <w:rFonts w:eastAsia="SimSun"/>
          <w:b/>
          <w:bCs/>
          <w:lang w:val="ru-RU"/>
        </w:rPr>
        <w:t>район</w:t>
      </w:r>
      <w:r>
        <w:rPr>
          <w:rFonts w:eastAsia="SimSun"/>
          <w:lang w:val="ru-RU"/>
        </w:rPr>
        <w:t xml:space="preserve">, </w:t>
      </w:r>
      <w:r>
        <w:rPr>
          <w:rFonts w:eastAsia="SimSun"/>
          <w:b/>
          <w:bCs/>
          <w:lang w:val="ru-RU"/>
        </w:rPr>
        <w:t>г.</w:t>
      </w:r>
      <w:r>
        <w:rPr>
          <w:rFonts w:eastAsia="SimSun"/>
          <w:lang w:val="ru-RU"/>
        </w:rPr>
        <w:t xml:space="preserve"> </w:t>
      </w:r>
      <w:r>
        <w:rPr>
          <w:rFonts w:eastAsia="SimSun"/>
          <w:b/>
          <w:bCs/>
          <w:lang w:val="ru-RU"/>
        </w:rPr>
        <w:t>Ош</w:t>
      </w:r>
      <w:r>
        <w:rPr>
          <w:rFonts w:eastAsia="SimSun"/>
          <w:lang w:val="ru-RU"/>
        </w:rPr>
        <w:t xml:space="preserve">, </w:t>
      </w:r>
      <w:r>
        <w:rPr>
          <w:rFonts w:eastAsia="SimSun"/>
          <w:b/>
          <w:bCs/>
          <w:lang w:val="ru-RU"/>
        </w:rPr>
        <w:t>ул</w:t>
      </w:r>
      <w:r>
        <w:rPr>
          <w:rFonts w:eastAsia="SimSun"/>
          <w:lang w:val="ru-RU"/>
        </w:rPr>
        <w:t xml:space="preserve">. </w:t>
      </w:r>
      <w:r>
        <w:rPr>
          <w:rFonts w:eastAsia="SimSun"/>
          <w:b/>
          <w:bCs/>
          <w:lang w:val="ru-RU"/>
        </w:rPr>
        <w:t>Бекмамата Осмонова</w:t>
      </w:r>
      <w:r>
        <w:rPr>
          <w:rFonts w:eastAsia="SimSun"/>
          <w:lang w:val="ru-RU"/>
        </w:rPr>
        <w:t xml:space="preserve">, № </w:t>
      </w:r>
      <w:r>
        <w:rPr>
          <w:rFonts w:eastAsia="SimSun"/>
          <w:b/>
          <w:bCs/>
          <w:lang w:val="ru-RU"/>
        </w:rPr>
        <w:t>10/1</w:t>
      </w:r>
    </w:p>
    <w:p w14:paraId="72225AA4">
      <w:pPr>
        <w:jc w:val="both"/>
        <w:rPr>
          <w:lang w:val="ru-RU"/>
        </w:rPr>
      </w:pPr>
      <w:r>
        <w:rPr>
          <w:lang w:val="ru-RU"/>
        </w:rPr>
        <w:t>Поставщик за три дня до поставки должен известить Покупателя о дате передачи товара. Передача товара оформляется Актом приема-передачи между Покупателем и Поставщиком. Помимо акта-приема-передачи товар должен сопровождаться следующей документацией:</w:t>
      </w:r>
    </w:p>
    <w:p w14:paraId="2AFC2C62">
      <w:pPr>
        <w:pStyle w:val="38"/>
        <w:ind w:left="712" w:hanging="145"/>
        <w:jc w:val="both"/>
        <w:rPr>
          <w:lang w:val="ru-RU"/>
        </w:rPr>
      </w:pPr>
      <w:r>
        <w:rPr>
          <w:bCs/>
          <w:lang w:val="ru-RU"/>
        </w:rPr>
        <w:t>(</w:t>
      </w:r>
      <w:r>
        <w:rPr>
          <w:bCs/>
        </w:rPr>
        <w:t>i</w:t>
      </w:r>
      <w:r>
        <w:rPr>
          <w:bCs/>
          <w:lang w:val="ru-RU"/>
        </w:rPr>
        <w:t>) к</w:t>
      </w:r>
      <w:r>
        <w:rPr>
          <w:lang w:val="ru-RU"/>
        </w:rPr>
        <w:t xml:space="preserve"> Счет к оплате Поставщика с указанием описания товаров, количества, цены за единицу, и общей суммы с разделением суммы налогов;</w:t>
      </w:r>
    </w:p>
    <w:p w14:paraId="273F672C">
      <w:pPr>
        <w:ind w:left="720" w:hanging="145"/>
        <w:contextualSpacing/>
        <w:jc w:val="both"/>
        <w:rPr>
          <w:bCs/>
          <w:lang w:val="ru-RU"/>
        </w:rPr>
      </w:pPr>
      <w:r>
        <w:rPr>
          <w:bCs/>
          <w:lang w:val="ru-RU"/>
        </w:rPr>
        <w:t>(</w:t>
      </w:r>
      <w:r>
        <w:rPr>
          <w:bCs/>
        </w:rPr>
        <w:t>ii</w:t>
      </w:r>
      <w:r>
        <w:rPr>
          <w:bCs/>
          <w:lang w:val="ru-RU"/>
        </w:rPr>
        <w:t>)  Гарантийный сертификат</w:t>
      </w:r>
    </w:p>
    <w:p w14:paraId="4665C5F8">
      <w:pPr>
        <w:pStyle w:val="38"/>
        <w:numPr>
          <w:ilvl w:val="3"/>
          <w:numId w:val="10"/>
        </w:numPr>
        <w:ind w:left="993" w:hanging="426"/>
        <w:contextualSpacing/>
        <w:jc w:val="both"/>
        <w:rPr>
          <w:bCs/>
          <w:lang w:val="ru-RU"/>
        </w:rPr>
      </w:pPr>
      <w:r>
        <w:rPr>
          <w:bCs/>
          <w:lang w:val="ru-RU"/>
        </w:rPr>
        <w:t xml:space="preserve">Сертификат соответствия </w:t>
      </w:r>
    </w:p>
    <w:p w14:paraId="4968A3C5">
      <w:pPr>
        <w:pStyle w:val="38"/>
        <w:ind w:left="993"/>
        <w:contextualSpacing/>
        <w:jc w:val="both"/>
        <w:rPr>
          <w:bCs/>
          <w:lang w:val="ru-RU"/>
        </w:rPr>
      </w:pPr>
    </w:p>
    <w:p w14:paraId="4E5F8CE4">
      <w:pPr>
        <w:pStyle w:val="38"/>
        <w:numPr>
          <w:ilvl w:val="0"/>
          <w:numId w:val="13"/>
        </w:numPr>
        <w:spacing w:after="200" w:line="276" w:lineRule="auto"/>
        <w:ind w:left="709" w:hanging="709"/>
        <w:contextualSpacing/>
        <w:jc w:val="both"/>
        <w:rPr>
          <w:bCs/>
          <w:lang w:val="ru-RU"/>
        </w:rPr>
      </w:pPr>
      <w:r>
        <w:rPr>
          <w:bCs/>
          <w:u w:val="single"/>
          <w:lang w:val="ru-RU"/>
        </w:rPr>
        <w:t xml:space="preserve">Оплата: </w:t>
      </w:r>
      <w:r>
        <w:rPr>
          <w:bCs/>
          <w:lang w:val="ru-RU"/>
        </w:rPr>
        <w:t>Представленный Вами счет подлежит 100% оплате по следующей схеме:</w:t>
      </w:r>
    </w:p>
    <w:p w14:paraId="42ACD5E1">
      <w:pPr>
        <w:numPr>
          <w:ilvl w:val="1"/>
          <w:numId w:val="13"/>
        </w:numPr>
        <w:jc w:val="both"/>
        <w:rPr>
          <w:lang w:val="ru-RU"/>
        </w:rPr>
      </w:pPr>
      <w:r>
        <w:rPr>
          <w:b/>
          <w:lang w:val="ru-RU"/>
        </w:rPr>
        <w:t xml:space="preserve">100% </w:t>
      </w:r>
      <w:r>
        <w:rPr>
          <w:lang w:val="ru-RU"/>
        </w:rPr>
        <w:t>после подписания акта приема-передачи и предоставления счета на оплату</w:t>
      </w:r>
      <w:r>
        <w:rPr>
          <w:bCs/>
          <w:lang w:val="ru-RU"/>
        </w:rPr>
        <w:t xml:space="preserve"> в течение 30 (тридцать) календарных дней.</w:t>
      </w:r>
    </w:p>
    <w:p w14:paraId="7B95E46A">
      <w:pPr>
        <w:pStyle w:val="38"/>
        <w:ind w:left="0"/>
        <w:jc w:val="both"/>
        <w:rPr>
          <w:bCs/>
          <w:lang w:val="ru-RU"/>
        </w:rPr>
      </w:pPr>
    </w:p>
    <w:p w14:paraId="4068A1E1">
      <w:pPr>
        <w:pStyle w:val="38"/>
        <w:numPr>
          <w:ilvl w:val="0"/>
          <w:numId w:val="13"/>
        </w:numPr>
        <w:spacing w:after="200"/>
        <w:ind w:left="0" w:firstLine="0"/>
        <w:contextualSpacing/>
        <w:jc w:val="both"/>
        <w:rPr>
          <w:bCs/>
          <w:lang w:val="ru-RU"/>
        </w:rPr>
      </w:pPr>
      <w:r>
        <w:rPr>
          <w:lang w:val="ru-RU"/>
        </w:rPr>
        <w:t xml:space="preserve">После получения 100% оплаты, Поставщик должен предоставить счет-фактуру установленной формы, </w:t>
      </w:r>
      <w:r>
        <w:rPr>
          <w:bCs/>
          <w:lang w:val="ru-RU"/>
        </w:rPr>
        <w:t>с указанием описания товаров, количества, цены за единицу, и общей суммы;</w:t>
      </w:r>
    </w:p>
    <w:p w14:paraId="091719D2">
      <w:pPr>
        <w:pStyle w:val="38"/>
        <w:ind w:left="0"/>
        <w:jc w:val="both"/>
        <w:rPr>
          <w:bCs/>
          <w:lang w:val="ru-RU"/>
        </w:rPr>
      </w:pPr>
    </w:p>
    <w:p w14:paraId="5646420A">
      <w:pPr>
        <w:pStyle w:val="38"/>
        <w:numPr>
          <w:ilvl w:val="0"/>
          <w:numId w:val="13"/>
        </w:numPr>
        <w:spacing w:after="200"/>
        <w:ind w:left="0" w:firstLine="0"/>
        <w:contextualSpacing/>
        <w:jc w:val="both"/>
        <w:rPr>
          <w:bCs/>
          <w:lang w:val="ru-RU"/>
        </w:rPr>
      </w:pPr>
      <w:r>
        <w:rPr>
          <w:bCs/>
          <w:lang w:val="ru-RU"/>
        </w:rPr>
        <w:t>Покупатель должен получить вышеупомянутые документы, по крайней мере, за неделю до прибытия товаров к пункту конечного назначения и, при неполучении, Поставщик несет ответственность за любые последующие расходы.</w:t>
      </w:r>
    </w:p>
    <w:p w14:paraId="60604EAD">
      <w:pPr>
        <w:pStyle w:val="38"/>
        <w:ind w:left="0"/>
        <w:jc w:val="both"/>
        <w:rPr>
          <w:lang w:val="ru-RU"/>
        </w:rPr>
      </w:pPr>
    </w:p>
    <w:p w14:paraId="69B722E7">
      <w:pPr>
        <w:pStyle w:val="38"/>
        <w:numPr>
          <w:ilvl w:val="0"/>
          <w:numId w:val="13"/>
        </w:numPr>
        <w:spacing w:after="200"/>
        <w:ind w:left="0" w:firstLine="0"/>
        <w:contextualSpacing/>
        <w:jc w:val="both"/>
        <w:rPr>
          <w:lang w:val="ru-RU"/>
        </w:rPr>
      </w:pPr>
      <w:r>
        <w:rPr>
          <w:lang w:val="ru-RU"/>
        </w:rPr>
        <w:t>Стоимость товара при оплате должна включать общую сумму до конечного пункта назначения, включающую все налоги, таможенные пошлины, сборы, страхование и стоимость внутренней перевозки, погрузки и разгрузки товара.</w:t>
      </w:r>
    </w:p>
    <w:p w14:paraId="31C2F2E0">
      <w:pPr>
        <w:tabs>
          <w:tab w:val="left" w:pos="1440"/>
        </w:tabs>
        <w:jc w:val="both"/>
        <w:rPr>
          <w:bCs/>
          <w:lang w:val="ru-RU"/>
        </w:rPr>
      </w:pPr>
    </w:p>
    <w:p w14:paraId="1EEC57FD">
      <w:pPr>
        <w:pStyle w:val="38"/>
        <w:numPr>
          <w:ilvl w:val="0"/>
          <w:numId w:val="13"/>
        </w:numPr>
        <w:spacing w:after="200"/>
        <w:ind w:left="0" w:firstLine="0"/>
        <w:contextualSpacing/>
        <w:jc w:val="both"/>
        <w:rPr>
          <w:lang w:val="ru-RU"/>
        </w:rPr>
      </w:pPr>
      <w:r>
        <w:rPr>
          <w:bCs/>
          <w:u w:val="single"/>
          <w:lang w:val="ru-RU"/>
        </w:rPr>
        <w:t>Инструкции по упаковке и маркировке</w:t>
      </w:r>
      <w:r>
        <w:rPr>
          <w:bCs/>
          <w:lang w:val="ru-RU"/>
        </w:rPr>
        <w:t xml:space="preserve">: </w:t>
      </w:r>
      <w:r>
        <w:rPr>
          <w:lang w:val="ru-RU"/>
        </w:rPr>
        <w:t>Поставщик должен обеспечить упаковку товаров способную предотвратить их повреждение или порчу во время перевозки к конечному пункту назначения, указанного в Контракте.</w:t>
      </w:r>
    </w:p>
    <w:p w14:paraId="6BF84BDD">
      <w:pPr>
        <w:pStyle w:val="38"/>
        <w:ind w:left="0"/>
        <w:jc w:val="both"/>
        <w:rPr>
          <w:lang w:val="ru-RU"/>
        </w:rPr>
      </w:pPr>
    </w:p>
    <w:p w14:paraId="2F835E03">
      <w:pPr>
        <w:pStyle w:val="38"/>
        <w:numPr>
          <w:ilvl w:val="0"/>
          <w:numId w:val="13"/>
        </w:numPr>
        <w:spacing w:after="200"/>
        <w:ind w:left="0" w:firstLine="0"/>
        <w:contextualSpacing/>
        <w:jc w:val="both"/>
        <w:rPr>
          <w:lang w:val="ru-RU"/>
        </w:rPr>
      </w:pPr>
      <w:r>
        <w:rPr>
          <w:bCs/>
          <w:u w:val="single"/>
          <w:lang w:val="ru-RU"/>
        </w:rPr>
        <w:t>Дефекты:</w:t>
      </w:r>
      <w:r>
        <w:rPr>
          <w:bCs/>
          <w:lang w:val="ru-RU"/>
        </w:rPr>
        <w:t xml:space="preserve"> </w:t>
      </w:r>
      <w:r>
        <w:rPr>
          <w:lang w:val="ru-RU"/>
        </w:rPr>
        <w:t xml:space="preserve">Все дефекты должны быть устранены Поставщиком, без каких-либо расходов со стороны Покупателя в течение 5 дней </w:t>
      </w:r>
      <w:r>
        <w:t>c</w:t>
      </w:r>
      <w:r>
        <w:rPr>
          <w:lang w:val="ru-RU"/>
        </w:rPr>
        <w:t xml:space="preserve"> даты уведомления Покупателем. </w:t>
      </w:r>
    </w:p>
    <w:p w14:paraId="5DBA7553">
      <w:pPr>
        <w:pStyle w:val="38"/>
        <w:ind w:left="0"/>
        <w:jc w:val="both"/>
        <w:rPr>
          <w:lang w:val="ru-RU"/>
        </w:rPr>
      </w:pPr>
    </w:p>
    <w:p w14:paraId="5533E1FE">
      <w:pPr>
        <w:pStyle w:val="38"/>
        <w:numPr>
          <w:ilvl w:val="0"/>
          <w:numId w:val="13"/>
        </w:numPr>
        <w:spacing w:after="200"/>
        <w:ind w:left="0" w:firstLine="0"/>
        <w:contextualSpacing/>
        <w:jc w:val="both"/>
        <w:rPr>
          <w:lang w:val="ru-RU"/>
        </w:rPr>
      </w:pPr>
      <w:r>
        <w:rPr>
          <w:bCs/>
          <w:u w:val="single"/>
          <w:lang w:val="ru-RU"/>
        </w:rPr>
        <w:t>Форс-мажор:</w:t>
      </w:r>
      <w:r>
        <w:rPr>
          <w:lang w:val="ru-RU"/>
        </w:rPr>
        <w:t xml:space="preserve"> Поставщик не несет ответственности за выплату неустоек или расторжение Контракта в силу невыполнения его условий, если задержка с выполнением Контракта или невыполнение обязательств по Контракту являются результатом форс</w:t>
      </w:r>
      <w:r>
        <w:rPr>
          <w:lang w:val="ru-RU"/>
        </w:rPr>
        <w:softHyphen/>
      </w:r>
      <w:r>
        <w:rPr>
          <w:lang w:val="ru-RU"/>
        </w:rPr>
        <w:t xml:space="preserve">-мажорных обстоятельств.  </w:t>
      </w:r>
    </w:p>
    <w:p w14:paraId="4271BC3E">
      <w:pPr>
        <w:tabs>
          <w:tab w:val="left" w:pos="0"/>
        </w:tabs>
        <w:jc w:val="both"/>
        <w:rPr>
          <w:bCs/>
          <w:lang w:val="ru-RU"/>
        </w:rPr>
      </w:pPr>
      <w:r>
        <w:rPr>
          <w:bCs/>
          <w:lang w:val="ru-RU"/>
        </w:rPr>
        <w:t xml:space="preserve">В целях разъяснения данного пункта, «форс-мажор» означает события не подвластные контролю со стороны Поставщика и произошедшие не по вине или бездействию Поставщика </w:t>
      </w:r>
      <w:r>
        <w:rPr>
          <w:lang w:val="ru-RU"/>
        </w:rPr>
        <w:t xml:space="preserve">и имеющее непредвиденный характер. </w:t>
      </w:r>
      <w:r>
        <w:rPr>
          <w:bCs/>
          <w:lang w:val="ru-RU"/>
        </w:rPr>
        <w:t>Такие события могут включать в себя, но не ограничиваться, независимым действием Покупателя, войной</w:t>
      </w:r>
      <w:r>
        <w:rPr>
          <w:spacing w:val="-2"/>
          <w:lang w:val="ru-RU"/>
        </w:rPr>
        <w:t xml:space="preserve"> или революциями, пожарами, наводнениями, эпидемиями, карантинными ограничениями, и наложениями ареста на груз.</w:t>
      </w:r>
    </w:p>
    <w:p w14:paraId="204F70BD">
      <w:pPr>
        <w:tabs>
          <w:tab w:val="left" w:pos="0"/>
        </w:tabs>
        <w:jc w:val="both"/>
        <w:rPr>
          <w:bCs/>
          <w:lang w:val="ru-RU"/>
        </w:rPr>
      </w:pPr>
    </w:p>
    <w:p w14:paraId="22A4D0D0">
      <w:pPr>
        <w:tabs>
          <w:tab w:val="left" w:pos="0"/>
        </w:tabs>
        <w:jc w:val="both"/>
        <w:rPr>
          <w:b/>
          <w:lang w:val="ru-RU"/>
        </w:rPr>
      </w:pPr>
      <w:r>
        <w:rPr>
          <w:bCs/>
          <w:lang w:val="ru-RU"/>
        </w:rPr>
        <w:t xml:space="preserve">При наступлении форс-мажорной ситуации Поставщик должен незамедлительно направить Покупателю письменное уведомление о таких условиях и причины ее возникновения. </w:t>
      </w:r>
      <w:r>
        <w:rPr>
          <w:lang w:val="ru-RU"/>
        </w:rPr>
        <w:t xml:space="preserve">Если от Покупателя не поступает иных письменных инструкций, Поставщик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w:t>
      </w:r>
      <w:r>
        <w:rPr>
          <w:bCs/>
          <w:lang w:val="ru-RU"/>
        </w:rPr>
        <w:t>форс-мажорных обстоятельств</w:t>
      </w:r>
      <w:r>
        <w:rPr>
          <w:lang w:val="ru-RU"/>
        </w:rPr>
        <w:t>.</w:t>
      </w:r>
      <w:r>
        <w:rPr>
          <w:b/>
          <w:lang w:val="ru-RU"/>
        </w:rPr>
        <w:t xml:space="preserve"> </w:t>
      </w:r>
    </w:p>
    <w:p w14:paraId="27EB8059">
      <w:pPr>
        <w:tabs>
          <w:tab w:val="left" w:pos="0"/>
        </w:tabs>
        <w:jc w:val="both"/>
        <w:rPr>
          <w:b/>
          <w:lang w:val="ru-RU"/>
        </w:rPr>
      </w:pPr>
    </w:p>
    <w:p w14:paraId="1844FE62">
      <w:pPr>
        <w:pStyle w:val="38"/>
        <w:numPr>
          <w:ilvl w:val="0"/>
          <w:numId w:val="13"/>
        </w:numPr>
        <w:spacing w:after="200"/>
        <w:contextualSpacing/>
        <w:jc w:val="both"/>
        <w:rPr>
          <w:bCs/>
          <w:lang w:val="ru-RU"/>
        </w:rPr>
      </w:pPr>
      <w:r>
        <w:rPr>
          <w:bCs/>
          <w:lang w:val="ru-RU"/>
        </w:rPr>
        <w:t xml:space="preserve">Необходимые технические спецификации:                                                                                                                                                                                                                                                                     </w:t>
      </w:r>
    </w:p>
    <w:p w14:paraId="608D048C">
      <w:pPr>
        <w:spacing w:after="240" w:line="276" w:lineRule="auto"/>
        <w:contextualSpacing/>
        <w:jc w:val="center"/>
        <w:rPr>
          <w:rFonts w:eastAsia="Calibri"/>
          <w:b/>
          <w:lang w:val="ru-RU" w:eastAsia="ru-RU"/>
        </w:rPr>
      </w:pPr>
    </w:p>
    <w:p w14:paraId="5C83D367">
      <w:pPr>
        <w:spacing w:after="240" w:line="276" w:lineRule="auto"/>
        <w:contextualSpacing/>
        <w:jc w:val="center"/>
        <w:rPr>
          <w:rFonts w:eastAsia="Calibri"/>
          <w:b/>
          <w:lang w:val="ru-RU" w:eastAsia="ru-RU"/>
        </w:rPr>
      </w:pPr>
    </w:p>
    <w:p w14:paraId="17B102E6">
      <w:pPr>
        <w:spacing w:after="240" w:line="276" w:lineRule="auto"/>
        <w:contextualSpacing/>
        <w:jc w:val="center"/>
        <w:rPr>
          <w:rFonts w:eastAsia="Calibri"/>
          <w:b/>
          <w:lang w:val="ru-RU" w:eastAsia="ru-RU"/>
        </w:rPr>
      </w:pPr>
    </w:p>
    <w:p w14:paraId="146E1A31">
      <w:pPr>
        <w:spacing w:after="240" w:line="276" w:lineRule="auto"/>
        <w:contextualSpacing/>
        <w:jc w:val="center"/>
        <w:rPr>
          <w:rFonts w:eastAsia="Calibri"/>
          <w:b/>
          <w:lang w:val="ru-RU" w:eastAsia="ru-RU"/>
        </w:rPr>
      </w:pPr>
    </w:p>
    <w:p w14:paraId="5517AAEE">
      <w:pPr>
        <w:spacing w:after="240" w:line="276" w:lineRule="auto"/>
        <w:contextualSpacing/>
        <w:jc w:val="center"/>
        <w:rPr>
          <w:rFonts w:eastAsia="Calibri"/>
          <w:b/>
          <w:lang w:val="ru-RU" w:eastAsia="ru-RU"/>
        </w:rPr>
      </w:pPr>
    </w:p>
    <w:p w14:paraId="5858A9C4">
      <w:pPr>
        <w:spacing w:after="240" w:line="276" w:lineRule="auto"/>
        <w:contextualSpacing/>
        <w:jc w:val="center"/>
        <w:rPr>
          <w:rFonts w:eastAsia="Calibri"/>
          <w:b/>
          <w:lang w:val="ru-RU" w:eastAsia="ru-RU"/>
        </w:rPr>
      </w:pPr>
    </w:p>
    <w:p w14:paraId="5E2F1DAC">
      <w:pPr>
        <w:spacing w:after="240" w:line="276" w:lineRule="auto"/>
        <w:contextualSpacing/>
        <w:jc w:val="center"/>
        <w:rPr>
          <w:rFonts w:eastAsia="Calibri"/>
          <w:b/>
          <w:lang w:val="ru-RU" w:eastAsia="ru-RU"/>
        </w:rPr>
      </w:pPr>
    </w:p>
    <w:p w14:paraId="0DCE7E69">
      <w:pPr>
        <w:spacing w:after="240" w:line="276" w:lineRule="auto"/>
        <w:contextualSpacing/>
        <w:jc w:val="center"/>
        <w:rPr>
          <w:rFonts w:eastAsia="Calibri"/>
          <w:b/>
          <w:lang w:val="ru-RU" w:eastAsia="ru-RU"/>
        </w:rPr>
      </w:pPr>
    </w:p>
    <w:p w14:paraId="633AA28F">
      <w:pPr>
        <w:spacing w:after="240" w:line="276" w:lineRule="auto"/>
        <w:contextualSpacing/>
        <w:jc w:val="center"/>
        <w:rPr>
          <w:rFonts w:eastAsia="Calibri"/>
          <w:b/>
          <w:lang w:val="ru-RU" w:eastAsia="ru-RU"/>
        </w:rPr>
      </w:pPr>
    </w:p>
    <w:p w14:paraId="623EFBA8">
      <w:pPr>
        <w:spacing w:after="240" w:line="276" w:lineRule="auto"/>
        <w:contextualSpacing/>
        <w:jc w:val="center"/>
        <w:rPr>
          <w:rFonts w:eastAsia="Calibri"/>
          <w:b/>
          <w:lang w:val="ru-RU" w:eastAsia="ru-RU"/>
        </w:rPr>
      </w:pPr>
    </w:p>
    <w:p w14:paraId="62A3BC6B">
      <w:pPr>
        <w:spacing w:after="240" w:line="276" w:lineRule="auto"/>
        <w:contextualSpacing/>
        <w:jc w:val="center"/>
        <w:rPr>
          <w:rFonts w:eastAsia="Calibri"/>
          <w:b/>
          <w:lang w:val="ru-RU" w:eastAsia="ru-RU"/>
        </w:rPr>
      </w:pPr>
      <w:bookmarkStart w:id="3" w:name="_GoBack"/>
      <w:bookmarkEnd w:id="3"/>
      <w:r>
        <w:rPr>
          <w:rFonts w:eastAsia="Calibri"/>
          <w:b/>
          <w:lang w:val="ru-RU" w:eastAsia="ru-RU"/>
        </w:rPr>
        <w:t>Технические спецификации</w:t>
      </w:r>
    </w:p>
    <w:p w14:paraId="3E803B26">
      <w:pPr>
        <w:tabs>
          <w:tab w:val="left" w:pos="0"/>
        </w:tabs>
        <w:spacing w:line="276" w:lineRule="auto"/>
        <w:jc w:val="center"/>
        <w:rPr>
          <w:b/>
          <w:szCs w:val="44"/>
          <w:lang w:val="ru-RU"/>
        </w:rPr>
      </w:pPr>
      <w:r>
        <w:rPr>
          <w:b/>
          <w:szCs w:val="28"/>
          <w:lang w:val="ru-RU"/>
        </w:rPr>
        <w:t>Поставка оборудования включает в себя установку, монтаж, ввод в эксплуатацию.</w:t>
      </w:r>
    </w:p>
    <w:tbl>
      <w:tblPr>
        <w:tblStyle w:val="8"/>
        <w:tblW w:w="1049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1"/>
        <w:gridCol w:w="4036"/>
        <w:gridCol w:w="73"/>
        <w:gridCol w:w="811"/>
        <w:gridCol w:w="2509"/>
      </w:tblGrid>
      <w:tr w14:paraId="64DA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7097" w:type="dxa"/>
            <w:gridSpan w:val="2"/>
            <w:tcBorders>
              <w:top w:val="single" w:color="auto" w:sz="4" w:space="0"/>
              <w:left w:val="single" w:color="auto" w:sz="4" w:space="0"/>
              <w:bottom w:val="single" w:color="auto" w:sz="4" w:space="0"/>
              <w:right w:val="single" w:color="auto" w:sz="4" w:space="0"/>
            </w:tcBorders>
            <w:shd w:val="clear" w:color="auto" w:fill="D9D9D9"/>
          </w:tcPr>
          <w:p w14:paraId="5869F852">
            <w:pPr>
              <w:rPr>
                <w:lang w:val="ru-RU"/>
              </w:rPr>
            </w:pPr>
          </w:p>
          <w:p w14:paraId="7468419F">
            <w:pPr>
              <w:keepNext/>
              <w:jc w:val="center"/>
              <w:outlineLvl w:val="4"/>
              <w:rPr>
                <w:b/>
                <w:bCs/>
                <w:u w:val="single"/>
                <w:lang w:val="ru-RU"/>
              </w:rPr>
            </w:pPr>
            <w:r>
              <w:rPr>
                <w:b/>
                <w:bCs/>
                <w:u w:val="single"/>
                <w:lang w:val="ru-RU"/>
              </w:rPr>
              <w:t xml:space="preserve">ТЕХНИЧЕСКИЕ ПАРАМЕТРЫ И СПЕЦИФИКАЦИИ </w:t>
            </w:r>
          </w:p>
          <w:p w14:paraId="5EAA56D0">
            <w:pPr>
              <w:keepNext/>
              <w:jc w:val="center"/>
              <w:outlineLvl w:val="4"/>
              <w:rPr>
                <w:b/>
                <w:bCs/>
                <w:u w:val="single"/>
                <w:lang w:val="ru-RU"/>
              </w:rPr>
            </w:pPr>
          </w:p>
          <w:p w14:paraId="47D152B0">
            <w:pPr>
              <w:keepNext/>
              <w:jc w:val="center"/>
              <w:outlineLvl w:val="4"/>
              <w:rPr>
                <w:b/>
                <w:bCs/>
                <w:u w:val="single"/>
                <w:lang w:val="ru-RU"/>
              </w:rPr>
            </w:pPr>
          </w:p>
        </w:tc>
        <w:tc>
          <w:tcPr>
            <w:tcW w:w="3393" w:type="dxa"/>
            <w:gridSpan w:val="3"/>
            <w:tcBorders>
              <w:top w:val="single" w:color="auto" w:sz="4" w:space="0"/>
              <w:left w:val="single" w:color="auto" w:sz="4" w:space="0"/>
              <w:bottom w:val="single" w:color="auto" w:sz="4" w:space="0"/>
              <w:right w:val="single" w:color="auto" w:sz="4" w:space="0"/>
            </w:tcBorders>
            <w:shd w:val="clear" w:color="auto" w:fill="D9D9D9"/>
          </w:tcPr>
          <w:p w14:paraId="445DFDB5">
            <w:pPr>
              <w:keepNext/>
              <w:jc w:val="center"/>
              <w:outlineLvl w:val="4"/>
              <w:rPr>
                <w:b/>
                <w:bCs/>
                <w:u w:val="single"/>
                <w:lang w:val="ru-RU"/>
              </w:rPr>
            </w:pPr>
            <w:r>
              <w:rPr>
                <w:b/>
                <w:bCs/>
                <w:u w:val="single"/>
                <w:lang w:val="ru-RU"/>
              </w:rPr>
              <w:t>Комментарии на техническое соответствие (Должен заполняется участником тендера)</w:t>
            </w:r>
          </w:p>
        </w:tc>
      </w:tr>
      <w:tr w14:paraId="04D6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90" w:type="dxa"/>
            <w:gridSpan w:val="5"/>
            <w:tcBorders>
              <w:top w:val="single" w:color="auto" w:sz="4" w:space="0"/>
              <w:left w:val="single" w:color="auto" w:sz="4" w:space="0"/>
              <w:bottom w:val="single" w:color="auto" w:sz="4" w:space="0"/>
              <w:right w:val="single" w:color="auto" w:sz="4" w:space="0"/>
            </w:tcBorders>
          </w:tcPr>
          <w:p w14:paraId="3CA0EDFA">
            <w:pPr>
              <w:tabs>
                <w:tab w:val="center" w:pos="4782"/>
              </w:tabs>
              <w:jc w:val="center"/>
              <w:rPr>
                <w:b/>
                <w:i/>
                <w:lang w:val="ru-RU"/>
              </w:rPr>
            </w:pPr>
            <w:r>
              <w:rPr>
                <w:b/>
                <w:bCs/>
              </w:rPr>
              <w:t>Дизельный генератор (30 кВт)</w:t>
            </w:r>
          </w:p>
        </w:tc>
      </w:tr>
      <w:tr w14:paraId="7B5B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90" w:type="dxa"/>
            <w:gridSpan w:val="5"/>
            <w:tcBorders>
              <w:top w:val="single" w:color="auto" w:sz="4" w:space="0"/>
              <w:left w:val="single" w:color="auto" w:sz="4" w:space="0"/>
              <w:bottom w:val="single" w:color="auto" w:sz="4" w:space="0"/>
              <w:right w:val="single" w:color="auto" w:sz="4" w:space="0"/>
            </w:tcBorders>
          </w:tcPr>
          <w:tbl>
            <w:tblPr>
              <w:tblStyle w:val="8"/>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14:paraId="6312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923" w:type="dxa"/>
                  <w:tcBorders>
                    <w:top w:val="single" w:color="auto" w:sz="4" w:space="0"/>
                    <w:left w:val="single" w:color="auto" w:sz="4" w:space="0"/>
                    <w:bottom w:val="single" w:color="auto" w:sz="4" w:space="0"/>
                    <w:right w:val="single" w:color="auto" w:sz="4" w:space="0"/>
                  </w:tcBorders>
                </w:tcPr>
                <w:p w14:paraId="30165046">
                  <w:pPr>
                    <w:tabs>
                      <w:tab w:val="center" w:pos="4782"/>
                      <w:tab w:val="left" w:pos="8014"/>
                    </w:tabs>
                    <w:jc w:val="center"/>
                    <w:rPr>
                      <w:b/>
                      <w:color w:val="000000"/>
                      <w:lang w:val="ru-RU" w:eastAsia="ru-RU"/>
                    </w:rPr>
                  </w:pPr>
                  <w:r>
                    <w:rPr>
                      <w:b/>
                      <w:lang w:val="ru-RU"/>
                    </w:rPr>
                    <w:t>Поставка должна предусматривать доставку и отгрузку товаров до места назначения.</w:t>
                  </w:r>
                </w:p>
              </w:tc>
            </w:tr>
          </w:tbl>
          <w:p w14:paraId="54E54A2B">
            <w:pPr>
              <w:tabs>
                <w:tab w:val="center" w:pos="4782"/>
              </w:tabs>
              <w:jc w:val="both"/>
              <w:rPr>
                <w:b/>
                <w:lang w:val="ru-RU"/>
              </w:rPr>
            </w:pPr>
          </w:p>
        </w:tc>
      </w:tr>
      <w:tr w14:paraId="5785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90" w:type="dxa"/>
            <w:gridSpan w:val="5"/>
            <w:tcBorders>
              <w:top w:val="single" w:color="auto" w:sz="4" w:space="0"/>
              <w:left w:val="single" w:color="auto" w:sz="4" w:space="0"/>
              <w:bottom w:val="single" w:color="auto" w:sz="4" w:space="0"/>
              <w:right w:val="single" w:color="auto" w:sz="4" w:space="0"/>
            </w:tcBorders>
          </w:tcPr>
          <w:p w14:paraId="742556F3">
            <w:pPr>
              <w:tabs>
                <w:tab w:val="center" w:pos="4782"/>
              </w:tabs>
              <w:jc w:val="both"/>
              <w:rPr>
                <w:b/>
                <w:i/>
                <w:lang w:val="ru-RU"/>
              </w:rPr>
            </w:pPr>
            <w:r>
              <w:rPr>
                <w:b/>
                <w:i/>
                <w:lang w:val="ru-RU"/>
              </w:rPr>
              <w:t>Количество: 1 шт.</w:t>
            </w:r>
            <w:r>
              <w:rPr>
                <w:b/>
                <w:i/>
                <w:lang w:val="ru-RU"/>
              </w:rPr>
              <w:tab/>
            </w:r>
          </w:p>
        </w:tc>
      </w:tr>
      <w:tr w14:paraId="5FEF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90" w:type="dxa"/>
            <w:gridSpan w:val="5"/>
            <w:tcBorders>
              <w:top w:val="single" w:color="auto" w:sz="4" w:space="0"/>
              <w:left w:val="single" w:color="auto" w:sz="4" w:space="0"/>
              <w:bottom w:val="single" w:color="auto" w:sz="4" w:space="0"/>
              <w:right w:val="single" w:color="auto" w:sz="4" w:space="0"/>
            </w:tcBorders>
            <w:shd w:val="clear" w:color="auto" w:fill="D9D9D9"/>
          </w:tcPr>
          <w:p w14:paraId="3CB752C7">
            <w:pPr>
              <w:keepNext/>
              <w:ind w:left="76" w:firstLine="208"/>
              <w:outlineLvl w:val="8"/>
              <w:rPr>
                <w:b/>
                <w:bCs/>
                <w:i/>
                <w:snapToGrid w:val="0"/>
                <w:color w:val="000000"/>
                <w:lang w:val="ru-RU"/>
              </w:rPr>
            </w:pPr>
            <w:r>
              <w:rPr>
                <w:b/>
                <w:bCs/>
                <w:i/>
                <w:snapToGrid w:val="0"/>
                <w:color w:val="000000"/>
                <w:lang w:val="ru-RU"/>
              </w:rPr>
              <w:t>ОБЩИЕ СПЕЦИФИКАЦИИ</w:t>
            </w:r>
          </w:p>
        </w:tc>
      </w:tr>
      <w:tr w14:paraId="2E95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7F37F7AB">
            <w:pPr>
              <w:jc w:val="both"/>
              <w:rPr>
                <w:lang w:val="ru-RU"/>
              </w:rPr>
            </w:pPr>
            <w:r>
              <w:rPr>
                <w:rFonts w:eastAsia="SimSun"/>
              </w:rPr>
              <w:t>Габариты и корпус</w:t>
            </w:r>
          </w:p>
        </w:tc>
        <w:tc>
          <w:tcPr>
            <w:tcW w:w="4920" w:type="dxa"/>
            <w:gridSpan w:val="3"/>
            <w:tcBorders>
              <w:top w:val="single" w:color="auto" w:sz="4" w:space="0"/>
              <w:left w:val="single" w:color="auto" w:sz="4" w:space="0"/>
              <w:bottom w:val="single" w:color="auto" w:sz="4" w:space="0"/>
              <w:right w:val="single" w:color="auto" w:sz="4" w:space="0"/>
            </w:tcBorders>
          </w:tcPr>
          <w:p w14:paraId="21255ACD">
            <w:pPr>
              <w:contextualSpacing/>
              <w:jc w:val="both"/>
              <w:rPr>
                <w:lang w:val="ru-RU"/>
              </w:rPr>
            </w:pPr>
            <w:r>
              <w:rPr>
                <w:rFonts w:eastAsia="SimSun"/>
                <w:lang w:val="ru-RU"/>
              </w:rPr>
              <w:t xml:space="preserve">Размеры: не более 2220х960х1200 мм. Кожух: всепогодный, с повышенной акустической изоляцией (уровень звукового давления не более 69 дБ на расстоянии 7 метров). Корпус должен быть выполнен из листовой оцинкованной стали толщиной строго не менее 2.0 мм. Покрытие: антикоррозийная порошковая эмаль. Степень защиты кожуха не ниже </w:t>
            </w:r>
            <w:r>
              <w:rPr>
                <w:rFonts w:eastAsia="SimSun"/>
              </w:rPr>
              <w:t>IP</w:t>
            </w:r>
            <w:r>
              <w:rPr>
                <w:rFonts w:eastAsia="SimSun"/>
                <w:lang w:val="ru-RU"/>
              </w:rPr>
              <w:t>-65.</w:t>
            </w:r>
          </w:p>
        </w:tc>
        <w:tc>
          <w:tcPr>
            <w:tcW w:w="2509" w:type="dxa"/>
            <w:tcBorders>
              <w:top w:val="single" w:color="auto" w:sz="4" w:space="0"/>
              <w:left w:val="single" w:color="auto" w:sz="4" w:space="0"/>
              <w:bottom w:val="single" w:color="auto" w:sz="4" w:space="0"/>
              <w:right w:val="single" w:color="auto" w:sz="4" w:space="0"/>
            </w:tcBorders>
          </w:tcPr>
          <w:p w14:paraId="311931BB">
            <w:pPr>
              <w:rPr>
                <w:lang w:val="ru-RU"/>
              </w:rPr>
            </w:pPr>
          </w:p>
        </w:tc>
      </w:tr>
      <w:tr w14:paraId="7B3A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vAlign w:val="center"/>
          </w:tcPr>
          <w:p w14:paraId="3D93AACD">
            <w:pPr>
              <w:jc w:val="both"/>
              <w:rPr>
                <w:lang w:val="ru-RU"/>
              </w:rPr>
            </w:pPr>
            <w:r>
              <w:rPr>
                <w:rFonts w:eastAsia="SimSun"/>
              </w:rPr>
              <w:t>Альтернатор</w:t>
            </w:r>
          </w:p>
        </w:tc>
        <w:tc>
          <w:tcPr>
            <w:tcW w:w="4920" w:type="dxa"/>
            <w:gridSpan w:val="3"/>
            <w:tcBorders>
              <w:top w:val="single" w:color="auto" w:sz="4" w:space="0"/>
              <w:left w:val="single" w:color="auto" w:sz="4" w:space="0"/>
              <w:bottom w:val="single" w:color="auto" w:sz="4" w:space="0"/>
              <w:right w:val="single" w:color="auto" w:sz="4" w:space="0"/>
            </w:tcBorders>
            <w:vAlign w:val="center"/>
          </w:tcPr>
          <w:p w14:paraId="650C5EE0">
            <w:pPr>
              <w:contextualSpacing/>
              <w:jc w:val="both"/>
              <w:rPr>
                <w:lang w:val="ru-RU"/>
              </w:rPr>
            </w:pPr>
            <w:r>
              <w:rPr>
                <w:rFonts w:eastAsia="SimSun"/>
                <w:lang w:val="ru-RU"/>
              </w:rPr>
              <w:t xml:space="preserve">Синхронный, бесщеточный генератор переменного тока. Обмотка: строго 100% электротехническая медь (использование омедненных или алюминиевых сплавов не допускается нормами безопасности). Класс изоляции: </w:t>
            </w:r>
            <w:r>
              <w:rPr>
                <w:rFonts w:eastAsia="SimSun"/>
              </w:rPr>
              <w:t>H</w:t>
            </w:r>
            <w:r>
              <w:rPr>
                <w:rFonts w:eastAsia="SimSun"/>
                <w:lang w:val="ru-RU"/>
              </w:rPr>
              <w:t xml:space="preserve"> (термостойкость до 180°</w:t>
            </w:r>
            <w:r>
              <w:rPr>
                <w:rFonts w:eastAsia="SimSun"/>
              </w:rPr>
              <w:t>C</w:t>
            </w:r>
            <w:r>
              <w:rPr>
                <w:rFonts w:eastAsia="SimSun"/>
                <w:lang w:val="ru-RU"/>
              </w:rPr>
              <w:t xml:space="preserve">). Степень защиты: не ниже </w:t>
            </w:r>
            <w:r>
              <w:rPr>
                <w:rFonts w:eastAsia="SimSun"/>
              </w:rPr>
              <w:t>IP</w:t>
            </w:r>
            <w:r>
              <w:rPr>
                <w:rFonts w:eastAsia="SimSun"/>
                <w:lang w:val="ru-RU"/>
              </w:rPr>
              <w:t>23.</w:t>
            </w:r>
          </w:p>
        </w:tc>
        <w:tc>
          <w:tcPr>
            <w:tcW w:w="2509" w:type="dxa"/>
            <w:tcBorders>
              <w:top w:val="single" w:color="auto" w:sz="4" w:space="0"/>
              <w:left w:val="single" w:color="auto" w:sz="4" w:space="0"/>
              <w:bottom w:val="single" w:color="auto" w:sz="4" w:space="0"/>
              <w:right w:val="single" w:color="auto" w:sz="4" w:space="0"/>
            </w:tcBorders>
          </w:tcPr>
          <w:p w14:paraId="26A0A080">
            <w:pPr>
              <w:rPr>
                <w:lang w:val="ru-RU"/>
              </w:rPr>
            </w:pPr>
          </w:p>
        </w:tc>
      </w:tr>
      <w:tr w14:paraId="54CC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00418DC2">
            <w:pPr>
              <w:jc w:val="both"/>
              <w:rPr>
                <w:lang w:val="ru-RU"/>
              </w:rPr>
            </w:pPr>
            <w:r>
              <w:rPr>
                <w:rFonts w:eastAsia="SimSun"/>
              </w:rPr>
              <w:t>Двигатель</w:t>
            </w:r>
          </w:p>
        </w:tc>
        <w:tc>
          <w:tcPr>
            <w:tcW w:w="4920" w:type="dxa"/>
            <w:gridSpan w:val="3"/>
            <w:tcBorders>
              <w:top w:val="single" w:color="auto" w:sz="4" w:space="0"/>
              <w:left w:val="single" w:color="auto" w:sz="4" w:space="0"/>
              <w:bottom w:val="single" w:color="auto" w:sz="4" w:space="0"/>
              <w:right w:val="single" w:color="auto" w:sz="4" w:space="0"/>
            </w:tcBorders>
          </w:tcPr>
          <w:p w14:paraId="6DE7F31C">
            <w:pPr>
              <w:contextualSpacing/>
              <w:jc w:val="both"/>
              <w:rPr>
                <w:lang w:val="ky-KG"/>
              </w:rPr>
            </w:pPr>
            <w:r>
              <w:rPr>
                <w:rFonts w:eastAsia="SimSun"/>
                <w:lang w:val="ru-RU"/>
              </w:rPr>
              <w:t>Основная мощность (</w:t>
            </w:r>
            <w:r>
              <w:rPr>
                <w:rFonts w:eastAsia="SimSun"/>
              </w:rPr>
              <w:t>Prime</w:t>
            </w:r>
            <w:r>
              <w:rPr>
                <w:rFonts w:eastAsia="SimSun"/>
                <w:lang w:val="ru-RU"/>
              </w:rPr>
              <w:t xml:space="preserve"> </w:t>
            </w:r>
            <w:r>
              <w:rPr>
                <w:rFonts w:eastAsia="SimSun"/>
              </w:rPr>
              <w:t>Power</w:t>
            </w:r>
            <w:r>
              <w:rPr>
                <w:rFonts w:eastAsia="SimSun"/>
                <w:lang w:val="ru-RU"/>
              </w:rPr>
              <w:t>): не менее 30 кВт (37.5 кВт). Тип: дизельный, 4-тактный, рядный, жидкостного охлаждения, частота вращения 1500 об/мин. Двигатель промышленного класса для тяжелых режимов работы (</w:t>
            </w:r>
            <w:r>
              <w:rPr>
                <w:rFonts w:eastAsia="SimSun"/>
              </w:rPr>
              <w:t>Heavy</w:t>
            </w:r>
            <w:r>
              <w:rPr>
                <w:rFonts w:eastAsia="SimSun"/>
                <w:lang w:val="ru-RU"/>
              </w:rPr>
              <w:t>-</w:t>
            </w:r>
            <w:r>
              <w:rPr>
                <w:rFonts w:eastAsia="SimSun"/>
              </w:rPr>
              <w:t>Duty</w:t>
            </w:r>
            <w:r>
              <w:rPr>
                <w:rFonts w:eastAsia="SimSun"/>
                <w:lang w:val="ru-RU"/>
              </w:rPr>
              <w:t>), расчетный ресурс работы до капитального ремонта — не менее 10 000 моточасов.</w:t>
            </w:r>
          </w:p>
        </w:tc>
        <w:tc>
          <w:tcPr>
            <w:tcW w:w="2509" w:type="dxa"/>
            <w:tcBorders>
              <w:top w:val="single" w:color="auto" w:sz="4" w:space="0"/>
              <w:left w:val="single" w:color="auto" w:sz="4" w:space="0"/>
              <w:bottom w:val="single" w:color="auto" w:sz="4" w:space="0"/>
              <w:right w:val="single" w:color="auto" w:sz="4" w:space="0"/>
            </w:tcBorders>
          </w:tcPr>
          <w:p w14:paraId="76667CBF">
            <w:pPr>
              <w:rPr>
                <w:lang w:val="ru-RU"/>
              </w:rPr>
            </w:pPr>
          </w:p>
        </w:tc>
      </w:tr>
      <w:tr w14:paraId="5084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470E3D93">
            <w:pPr>
              <w:jc w:val="both"/>
              <w:rPr>
                <w:rFonts w:eastAsia="SimSun"/>
              </w:rPr>
            </w:pPr>
            <w:r>
              <w:rPr>
                <w:rFonts w:eastAsia="SimSun"/>
              </w:rPr>
              <w:t>Топливо</w:t>
            </w:r>
          </w:p>
        </w:tc>
        <w:tc>
          <w:tcPr>
            <w:tcW w:w="4920" w:type="dxa"/>
            <w:gridSpan w:val="3"/>
            <w:tcBorders>
              <w:top w:val="single" w:color="auto" w:sz="4" w:space="0"/>
              <w:left w:val="single" w:color="auto" w:sz="4" w:space="0"/>
              <w:bottom w:val="single" w:color="auto" w:sz="4" w:space="0"/>
              <w:right w:val="single" w:color="auto" w:sz="4" w:space="0"/>
            </w:tcBorders>
          </w:tcPr>
          <w:p w14:paraId="085CFE7B">
            <w:pPr>
              <w:contextualSpacing/>
              <w:jc w:val="both"/>
              <w:rPr>
                <w:rFonts w:eastAsia="SimSun"/>
                <w:lang w:val="ru-RU"/>
              </w:rPr>
            </w:pPr>
            <w:r>
              <w:rPr>
                <w:rFonts w:eastAsia="SimSun"/>
                <w:lang w:val="ru-RU"/>
              </w:rPr>
              <w:t>Встроенный в раму топливный бак: не менее 110 литров. Расход топлива: не более 5.8 л/ч (при 75% нагрузке).</w:t>
            </w:r>
          </w:p>
        </w:tc>
        <w:tc>
          <w:tcPr>
            <w:tcW w:w="2509" w:type="dxa"/>
            <w:tcBorders>
              <w:top w:val="single" w:color="auto" w:sz="4" w:space="0"/>
              <w:left w:val="single" w:color="auto" w:sz="4" w:space="0"/>
              <w:bottom w:val="single" w:color="auto" w:sz="4" w:space="0"/>
              <w:right w:val="single" w:color="auto" w:sz="4" w:space="0"/>
            </w:tcBorders>
          </w:tcPr>
          <w:p w14:paraId="729B727F">
            <w:pPr>
              <w:rPr>
                <w:lang w:val="ru-RU"/>
              </w:rPr>
            </w:pPr>
          </w:p>
        </w:tc>
      </w:tr>
      <w:tr w14:paraId="53B7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034BAEFB">
            <w:pPr>
              <w:jc w:val="both"/>
              <w:rPr>
                <w:rFonts w:eastAsia="SimSun"/>
              </w:rPr>
            </w:pPr>
            <w:r>
              <w:rPr>
                <w:rFonts w:eastAsia="SimSun"/>
              </w:rPr>
              <w:t>Управление и запуск</w:t>
            </w:r>
          </w:p>
        </w:tc>
        <w:tc>
          <w:tcPr>
            <w:tcW w:w="4920" w:type="dxa"/>
            <w:gridSpan w:val="3"/>
            <w:tcBorders>
              <w:top w:val="single" w:color="auto" w:sz="4" w:space="0"/>
              <w:left w:val="single" w:color="auto" w:sz="4" w:space="0"/>
              <w:bottom w:val="single" w:color="auto" w:sz="4" w:space="0"/>
              <w:right w:val="single" w:color="auto" w:sz="4" w:space="0"/>
            </w:tcBorders>
          </w:tcPr>
          <w:p w14:paraId="09848863">
            <w:pPr>
              <w:contextualSpacing/>
              <w:jc w:val="both"/>
              <w:rPr>
                <w:rFonts w:eastAsia="SimSun"/>
                <w:lang w:val="ru-RU"/>
              </w:rPr>
            </w:pPr>
            <w:r>
              <w:rPr>
                <w:rFonts w:eastAsia="SimSun"/>
                <w:lang w:val="ru-RU"/>
              </w:rPr>
              <w:t>Наличие интегрированного шкафа автоматического ввода резерва (АВР) на базе промышленных контакторов. Автоматический электронный регулятор напряжения (</w:t>
            </w:r>
            <w:r>
              <w:rPr>
                <w:rFonts w:eastAsia="SimSun"/>
              </w:rPr>
              <w:t>AVR</w:t>
            </w:r>
            <w:r>
              <w:rPr>
                <w:rFonts w:eastAsia="SimSun"/>
                <w:lang w:val="ru-RU"/>
              </w:rPr>
              <w:t>) с точностью удержания не хуже ±1%. Электрический подогреватель охлаждающей жидкости для обеспечения гарантированного запуска при отрицательных температурах.</w:t>
            </w:r>
          </w:p>
        </w:tc>
        <w:tc>
          <w:tcPr>
            <w:tcW w:w="2509" w:type="dxa"/>
            <w:tcBorders>
              <w:top w:val="single" w:color="auto" w:sz="4" w:space="0"/>
              <w:left w:val="single" w:color="auto" w:sz="4" w:space="0"/>
              <w:bottom w:val="single" w:color="auto" w:sz="4" w:space="0"/>
              <w:right w:val="single" w:color="auto" w:sz="4" w:space="0"/>
            </w:tcBorders>
          </w:tcPr>
          <w:p w14:paraId="3C70F018">
            <w:pPr>
              <w:rPr>
                <w:lang w:val="ru-RU"/>
              </w:rPr>
            </w:pPr>
          </w:p>
        </w:tc>
      </w:tr>
      <w:tr w14:paraId="18A94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479035D9">
            <w:pPr>
              <w:jc w:val="both"/>
              <w:rPr>
                <w:lang w:val="ru-RU"/>
              </w:rPr>
            </w:pPr>
            <w:r>
              <w:rPr>
                <w:rFonts w:eastAsia="SimSun"/>
              </w:rPr>
              <w:t>Номинальная мощность</w:t>
            </w:r>
          </w:p>
        </w:tc>
        <w:tc>
          <w:tcPr>
            <w:tcW w:w="4920" w:type="dxa"/>
            <w:gridSpan w:val="3"/>
            <w:tcBorders>
              <w:top w:val="single" w:color="auto" w:sz="4" w:space="0"/>
              <w:left w:val="single" w:color="auto" w:sz="4" w:space="0"/>
              <w:bottom w:val="single" w:color="auto" w:sz="4" w:space="0"/>
              <w:right w:val="single" w:color="auto" w:sz="4" w:space="0"/>
            </w:tcBorders>
          </w:tcPr>
          <w:p w14:paraId="026EB268">
            <w:pPr>
              <w:contextualSpacing/>
              <w:jc w:val="both"/>
              <w:rPr>
                <w:lang w:val="ru-RU"/>
              </w:rPr>
            </w:pPr>
            <w:r>
              <w:rPr>
                <w:rFonts w:eastAsia="SimSun"/>
                <w:lang w:val="ru-RU"/>
              </w:rPr>
              <w:t>Не менее 30 кВт (37.5 кВт) для непрерывной работы при переменной нагрузке.</w:t>
            </w:r>
          </w:p>
        </w:tc>
        <w:tc>
          <w:tcPr>
            <w:tcW w:w="2509" w:type="dxa"/>
            <w:tcBorders>
              <w:top w:val="single" w:color="auto" w:sz="4" w:space="0"/>
              <w:left w:val="single" w:color="auto" w:sz="4" w:space="0"/>
              <w:bottom w:val="single" w:color="auto" w:sz="4" w:space="0"/>
              <w:right w:val="single" w:color="auto" w:sz="4" w:space="0"/>
            </w:tcBorders>
          </w:tcPr>
          <w:p w14:paraId="6BBEFAD3">
            <w:pPr>
              <w:rPr>
                <w:lang w:val="ru-RU"/>
              </w:rPr>
            </w:pPr>
          </w:p>
        </w:tc>
      </w:tr>
      <w:tr w14:paraId="7580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vAlign w:val="center"/>
          </w:tcPr>
          <w:p w14:paraId="325F23A8">
            <w:pPr>
              <w:jc w:val="both"/>
              <w:rPr>
                <w:lang w:val="ru-RU"/>
              </w:rPr>
            </w:pPr>
            <w:r>
              <w:rPr>
                <w:rFonts w:eastAsia="SimSun"/>
              </w:rPr>
              <w:t>Тип исполнения</w:t>
            </w:r>
          </w:p>
        </w:tc>
        <w:tc>
          <w:tcPr>
            <w:tcW w:w="4920" w:type="dxa"/>
            <w:gridSpan w:val="3"/>
            <w:tcBorders>
              <w:top w:val="single" w:color="auto" w:sz="4" w:space="0"/>
              <w:left w:val="single" w:color="auto" w:sz="4" w:space="0"/>
              <w:bottom w:val="single" w:color="auto" w:sz="4" w:space="0"/>
              <w:right w:val="single" w:color="auto" w:sz="4" w:space="0"/>
            </w:tcBorders>
            <w:vAlign w:val="center"/>
          </w:tcPr>
          <w:p w14:paraId="06E7A8AB">
            <w:pPr>
              <w:contextualSpacing/>
              <w:jc w:val="both"/>
              <w:rPr>
                <w:lang w:val="ru-RU"/>
              </w:rPr>
            </w:pPr>
            <w:r>
              <w:rPr>
                <w:rFonts w:eastAsia="SimSun"/>
                <w:lang w:val="ru-RU"/>
              </w:rPr>
              <w:t>Закрытое всепогодное исполнение. Снижение шума обеспечивается за счет утолщенного стального листа (не менее 2.0 мм) и применения огнестойкой акустической пены высокой плотности по всему внутреннему периметру кожуха.</w:t>
            </w:r>
          </w:p>
        </w:tc>
        <w:tc>
          <w:tcPr>
            <w:tcW w:w="2509" w:type="dxa"/>
            <w:tcBorders>
              <w:top w:val="single" w:color="auto" w:sz="4" w:space="0"/>
              <w:left w:val="single" w:color="auto" w:sz="4" w:space="0"/>
              <w:bottom w:val="single" w:color="auto" w:sz="4" w:space="0"/>
              <w:right w:val="single" w:color="auto" w:sz="4" w:space="0"/>
            </w:tcBorders>
          </w:tcPr>
          <w:p w14:paraId="003E6A49">
            <w:pPr>
              <w:rPr>
                <w:lang w:val="ru-RU"/>
              </w:rPr>
            </w:pPr>
          </w:p>
        </w:tc>
      </w:tr>
      <w:tr w14:paraId="0EBA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527A7F93">
            <w:pPr>
              <w:jc w:val="both"/>
              <w:rPr>
                <w:lang w:val="ru-RU"/>
              </w:rPr>
            </w:pPr>
            <w:r>
              <w:rPr>
                <w:rFonts w:eastAsia="SimSun"/>
              </w:rPr>
              <w:t>Силовой агрегат (двигатель)</w:t>
            </w:r>
          </w:p>
        </w:tc>
        <w:tc>
          <w:tcPr>
            <w:tcW w:w="4920" w:type="dxa"/>
            <w:gridSpan w:val="3"/>
            <w:tcBorders>
              <w:top w:val="single" w:color="auto" w:sz="4" w:space="0"/>
              <w:left w:val="single" w:color="auto" w:sz="4" w:space="0"/>
              <w:bottom w:val="single" w:color="auto" w:sz="4" w:space="0"/>
              <w:right w:val="single" w:color="auto" w:sz="4" w:space="0"/>
            </w:tcBorders>
          </w:tcPr>
          <w:p w14:paraId="407D03CB">
            <w:pPr>
              <w:contextualSpacing/>
              <w:jc w:val="both"/>
              <w:rPr>
                <w:lang w:val="ky-KG"/>
              </w:rPr>
            </w:pPr>
            <w:r>
              <w:rPr>
                <w:rFonts w:eastAsia="SimSun"/>
                <w:lang w:val="ru-RU"/>
              </w:rPr>
              <w:t>Дизельный, жидкостного охлаждения. Предназначен для длительных нагрузок, адаптирован к резким индуктивным пусковым токам коммерческого холодильного оборудования ресторана.</w:t>
            </w:r>
          </w:p>
        </w:tc>
        <w:tc>
          <w:tcPr>
            <w:tcW w:w="2509" w:type="dxa"/>
            <w:tcBorders>
              <w:top w:val="single" w:color="auto" w:sz="4" w:space="0"/>
              <w:left w:val="single" w:color="auto" w:sz="4" w:space="0"/>
              <w:bottom w:val="single" w:color="auto" w:sz="4" w:space="0"/>
              <w:right w:val="single" w:color="auto" w:sz="4" w:space="0"/>
            </w:tcBorders>
          </w:tcPr>
          <w:p w14:paraId="170750F9">
            <w:pPr>
              <w:rPr>
                <w:lang w:val="ru-RU"/>
              </w:rPr>
            </w:pPr>
          </w:p>
        </w:tc>
      </w:tr>
      <w:tr w14:paraId="45345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173EDF99">
            <w:pPr>
              <w:jc w:val="both"/>
              <w:rPr>
                <w:lang w:val="ru-RU"/>
              </w:rPr>
            </w:pPr>
            <w:r>
              <w:rPr>
                <w:rFonts w:eastAsia="SimSun"/>
              </w:rPr>
              <w:t>Альтернатор (генератор переменного тока)</w:t>
            </w:r>
          </w:p>
        </w:tc>
        <w:tc>
          <w:tcPr>
            <w:tcW w:w="4920" w:type="dxa"/>
            <w:gridSpan w:val="3"/>
            <w:tcBorders>
              <w:top w:val="single" w:color="auto" w:sz="4" w:space="0"/>
              <w:left w:val="single" w:color="auto" w:sz="4" w:space="0"/>
              <w:bottom w:val="single" w:color="auto" w:sz="4" w:space="0"/>
              <w:right w:val="single" w:color="auto" w:sz="4" w:space="0"/>
            </w:tcBorders>
          </w:tcPr>
          <w:p w14:paraId="6214AB19">
            <w:pPr>
              <w:contextualSpacing/>
              <w:jc w:val="both"/>
              <w:rPr>
                <w:lang w:val="ru-RU"/>
              </w:rPr>
            </w:pPr>
            <w:r>
              <w:rPr>
                <w:rFonts w:eastAsia="SimSun"/>
                <w:lang w:val="ru-RU"/>
              </w:rPr>
              <w:t>Бесщеточный, 100% медная обмотка. Обязательна система высокоточной электронной стабилизации напряжения для защиты чувствительного цифрового оборудования.</w:t>
            </w:r>
          </w:p>
        </w:tc>
        <w:tc>
          <w:tcPr>
            <w:tcW w:w="2509" w:type="dxa"/>
            <w:tcBorders>
              <w:top w:val="single" w:color="auto" w:sz="4" w:space="0"/>
              <w:left w:val="single" w:color="auto" w:sz="4" w:space="0"/>
              <w:bottom w:val="single" w:color="auto" w:sz="4" w:space="0"/>
              <w:right w:val="single" w:color="auto" w:sz="4" w:space="0"/>
            </w:tcBorders>
          </w:tcPr>
          <w:p w14:paraId="4DF4D8F7">
            <w:pPr>
              <w:rPr>
                <w:lang w:val="ru-RU"/>
              </w:rPr>
            </w:pPr>
          </w:p>
        </w:tc>
      </w:tr>
      <w:tr w14:paraId="668C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03229AF5">
            <w:pPr>
              <w:jc w:val="both"/>
              <w:rPr>
                <w:lang w:val="ru-RU"/>
              </w:rPr>
            </w:pPr>
            <w:r>
              <w:rPr>
                <w:rFonts w:eastAsia="SimSun"/>
              </w:rPr>
              <w:t>Система автоматики</w:t>
            </w:r>
          </w:p>
        </w:tc>
        <w:tc>
          <w:tcPr>
            <w:tcW w:w="4920" w:type="dxa"/>
            <w:gridSpan w:val="3"/>
            <w:tcBorders>
              <w:top w:val="single" w:color="auto" w:sz="4" w:space="0"/>
              <w:left w:val="single" w:color="auto" w:sz="4" w:space="0"/>
              <w:bottom w:val="single" w:color="auto" w:sz="4" w:space="0"/>
              <w:right w:val="single" w:color="auto" w:sz="4" w:space="0"/>
            </w:tcBorders>
          </w:tcPr>
          <w:p w14:paraId="619F5CA1">
            <w:pPr>
              <w:contextualSpacing/>
              <w:jc w:val="both"/>
              <w:rPr>
                <w:lang w:val="ru-RU"/>
              </w:rPr>
            </w:pPr>
            <w:r>
              <w:rPr>
                <w:rFonts w:eastAsia="SimSun"/>
                <w:lang w:val="ru-RU"/>
              </w:rPr>
              <w:t>Система автоматизированного переключения нагрузки (АВР) для самостоятельного запуска при пропадании напряжения в основной сети и глушения при его восстановлении.</w:t>
            </w:r>
          </w:p>
        </w:tc>
        <w:tc>
          <w:tcPr>
            <w:tcW w:w="2509" w:type="dxa"/>
            <w:tcBorders>
              <w:top w:val="single" w:color="auto" w:sz="4" w:space="0"/>
              <w:left w:val="single" w:color="auto" w:sz="4" w:space="0"/>
              <w:bottom w:val="single" w:color="auto" w:sz="4" w:space="0"/>
              <w:right w:val="single" w:color="auto" w:sz="4" w:space="0"/>
            </w:tcBorders>
          </w:tcPr>
          <w:p w14:paraId="39B16C1A">
            <w:pPr>
              <w:rPr>
                <w:lang w:val="ru-RU"/>
              </w:rPr>
            </w:pPr>
          </w:p>
        </w:tc>
      </w:tr>
      <w:tr w14:paraId="2879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3061" w:type="dxa"/>
            <w:tcBorders>
              <w:top w:val="single" w:color="auto" w:sz="4" w:space="0"/>
              <w:left w:val="single" w:color="auto" w:sz="4" w:space="0"/>
              <w:bottom w:val="single" w:color="auto" w:sz="4" w:space="0"/>
              <w:right w:val="single" w:color="auto" w:sz="4" w:space="0"/>
            </w:tcBorders>
          </w:tcPr>
          <w:p w14:paraId="45F63AB4">
            <w:pPr>
              <w:jc w:val="both"/>
              <w:rPr>
                <w:lang w:val="ru-RU"/>
              </w:rPr>
            </w:pPr>
            <w:r>
              <w:rPr>
                <w:rFonts w:eastAsia="SimSun"/>
              </w:rPr>
              <w:t>Панель управления</w:t>
            </w:r>
          </w:p>
        </w:tc>
        <w:tc>
          <w:tcPr>
            <w:tcW w:w="4920" w:type="dxa"/>
            <w:gridSpan w:val="3"/>
            <w:tcBorders>
              <w:top w:val="single" w:color="auto" w:sz="4" w:space="0"/>
              <w:left w:val="single" w:color="auto" w:sz="4" w:space="0"/>
              <w:bottom w:val="single" w:color="auto" w:sz="4" w:space="0"/>
              <w:right w:val="single" w:color="auto" w:sz="4" w:space="0"/>
            </w:tcBorders>
          </w:tcPr>
          <w:p w14:paraId="1236F74A">
            <w:pPr>
              <w:pStyle w:val="28"/>
              <w:spacing w:before="0" w:after="0"/>
              <w:jc w:val="both"/>
              <w:rPr>
                <w:szCs w:val="24"/>
                <w:lang w:val="ru-RU"/>
              </w:rPr>
            </w:pPr>
            <w:r>
              <w:rPr>
                <w:rFonts w:eastAsia="SimSun"/>
                <w:szCs w:val="24"/>
                <w:lang w:val="ru-RU"/>
              </w:rPr>
              <w:t>Цифровой микропроцессорный контроллер промышленного стандарта с ЖК-дисплеем (поддержка русского/английского языка) для мониторинга параметров: напряжение, частота, давление масла, температура охлаждающей жидкости, уровень топлива и вывод кодов системных ошибок.</w:t>
            </w:r>
          </w:p>
        </w:tc>
        <w:tc>
          <w:tcPr>
            <w:tcW w:w="2509" w:type="dxa"/>
            <w:tcBorders>
              <w:top w:val="single" w:color="auto" w:sz="4" w:space="0"/>
              <w:left w:val="single" w:color="auto" w:sz="4" w:space="0"/>
              <w:bottom w:val="single" w:color="auto" w:sz="4" w:space="0"/>
              <w:right w:val="single" w:color="auto" w:sz="4" w:space="0"/>
            </w:tcBorders>
          </w:tcPr>
          <w:p w14:paraId="61B99AF0">
            <w:pPr>
              <w:rPr>
                <w:lang w:val="ru-RU"/>
              </w:rPr>
            </w:pPr>
          </w:p>
        </w:tc>
      </w:tr>
      <w:tr w14:paraId="079F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061" w:type="dxa"/>
            <w:tcBorders>
              <w:top w:val="single" w:color="auto" w:sz="4" w:space="0"/>
              <w:left w:val="single" w:color="auto" w:sz="4" w:space="0"/>
              <w:bottom w:val="single" w:color="auto" w:sz="4" w:space="0"/>
              <w:right w:val="single" w:color="auto" w:sz="4" w:space="0"/>
            </w:tcBorders>
            <w:vAlign w:val="center"/>
          </w:tcPr>
          <w:p w14:paraId="62CE4E9E">
            <w:pPr>
              <w:jc w:val="both"/>
              <w:rPr>
                <w:rFonts w:eastAsia="SimSun"/>
              </w:rPr>
            </w:pPr>
            <w:r>
              <w:t>Гарантийный срок</w:t>
            </w:r>
          </w:p>
        </w:tc>
        <w:tc>
          <w:tcPr>
            <w:tcW w:w="4920" w:type="dxa"/>
            <w:gridSpan w:val="3"/>
            <w:tcBorders>
              <w:top w:val="single" w:color="auto" w:sz="4" w:space="0"/>
              <w:left w:val="single" w:color="auto" w:sz="4" w:space="0"/>
              <w:bottom w:val="single" w:color="auto" w:sz="4" w:space="0"/>
              <w:right w:val="single" w:color="auto" w:sz="4" w:space="0"/>
            </w:tcBorders>
            <w:vAlign w:val="center"/>
          </w:tcPr>
          <w:p w14:paraId="1FAAF0CC">
            <w:pPr>
              <w:pStyle w:val="28"/>
              <w:spacing w:before="0" w:after="0"/>
              <w:jc w:val="both"/>
              <w:rPr>
                <w:rFonts w:eastAsia="SimSun"/>
                <w:szCs w:val="24"/>
                <w:lang w:val="ru-RU"/>
              </w:rPr>
            </w:pPr>
            <w:r>
              <w:rPr>
                <w:szCs w:val="24"/>
                <w:lang w:val="ru-RU"/>
              </w:rPr>
              <w:t xml:space="preserve">Не менее </w:t>
            </w:r>
            <w:r>
              <w:rPr>
                <w:szCs w:val="24"/>
              </w:rPr>
              <w:t xml:space="preserve">12 месяцев </w:t>
            </w:r>
          </w:p>
        </w:tc>
        <w:tc>
          <w:tcPr>
            <w:tcW w:w="2509" w:type="dxa"/>
            <w:tcBorders>
              <w:top w:val="single" w:color="auto" w:sz="4" w:space="0"/>
              <w:left w:val="single" w:color="auto" w:sz="4" w:space="0"/>
              <w:bottom w:val="single" w:color="auto" w:sz="4" w:space="0"/>
              <w:right w:val="single" w:color="auto" w:sz="4" w:space="0"/>
            </w:tcBorders>
          </w:tcPr>
          <w:p w14:paraId="7BE47D13">
            <w:pPr>
              <w:rPr>
                <w:lang w:val="ru-RU"/>
              </w:rPr>
            </w:pPr>
          </w:p>
        </w:tc>
      </w:tr>
      <w:tr w14:paraId="79F7C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90"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36FFADE">
            <w:pPr>
              <w:jc w:val="center"/>
              <w:rPr>
                <w:b/>
                <w:lang w:val="ru-RU"/>
              </w:rPr>
            </w:pPr>
            <w:r>
              <w:rPr>
                <w:rFonts w:eastAsia="SimSun"/>
                <w:b/>
                <w:bCs/>
              </w:rPr>
              <w:t>Комплект уличного зонта</w:t>
            </w:r>
          </w:p>
        </w:tc>
      </w:tr>
      <w:tr w14:paraId="26299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0490"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tbl>
            <w:tblPr>
              <w:tblStyle w:val="8"/>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3"/>
            </w:tblGrid>
            <w:tr w14:paraId="26B5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0173" w:type="dxa"/>
                  <w:tcBorders>
                    <w:top w:val="single" w:color="auto" w:sz="4" w:space="0"/>
                    <w:left w:val="single" w:color="auto" w:sz="4" w:space="0"/>
                    <w:bottom w:val="single" w:color="auto" w:sz="4" w:space="0"/>
                    <w:right w:val="single" w:color="auto" w:sz="4" w:space="0"/>
                  </w:tcBorders>
                  <w:vAlign w:val="center"/>
                </w:tcPr>
                <w:p w14:paraId="32489CD7">
                  <w:pPr>
                    <w:tabs>
                      <w:tab w:val="center" w:pos="4782"/>
                      <w:tab w:val="left" w:pos="8014"/>
                    </w:tabs>
                    <w:jc w:val="center"/>
                    <w:rPr>
                      <w:b/>
                      <w:color w:val="000000"/>
                      <w:lang w:val="ru-RU" w:eastAsia="ru-RU"/>
                    </w:rPr>
                  </w:pPr>
                  <w:r>
                    <w:rPr>
                      <w:b/>
                      <w:lang w:val="ru-RU"/>
                    </w:rPr>
                    <w:t>Поставка должна предусматривать доставку и отгрузку товаров до места назначения.</w:t>
                  </w:r>
                </w:p>
              </w:tc>
            </w:tr>
          </w:tbl>
          <w:p w14:paraId="24FA01F3">
            <w:pPr>
              <w:rPr>
                <w:b/>
                <w:bCs/>
                <w:color w:val="222222"/>
                <w:kern w:val="36"/>
                <w:lang w:val="ru-RU" w:eastAsia="ru-RU"/>
              </w:rPr>
            </w:pPr>
          </w:p>
        </w:tc>
      </w:tr>
      <w:tr w14:paraId="2485B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24D4DC0F">
            <w:pPr>
              <w:jc w:val="both"/>
              <w:rPr>
                <w:lang w:val="ru-RU"/>
              </w:rPr>
            </w:pPr>
            <w:r>
              <w:rPr>
                <w:b/>
                <w:lang w:val="ru-RU"/>
              </w:rPr>
              <w:t xml:space="preserve">Количество: </w:t>
            </w:r>
            <w:r>
              <w:rPr>
                <w:b/>
                <w:lang w:val="ru-RU"/>
              </w:rPr>
              <w:tab/>
            </w:r>
            <w:r>
              <w:rPr>
                <w:b/>
                <w:lang w:val="ru-RU"/>
              </w:rPr>
              <w:t>5 шт.</w:t>
            </w:r>
          </w:p>
        </w:tc>
        <w:tc>
          <w:tcPr>
            <w:tcW w:w="4920" w:type="dxa"/>
            <w:gridSpan w:val="3"/>
            <w:tcBorders>
              <w:top w:val="single" w:color="auto" w:sz="4" w:space="0"/>
              <w:left w:val="single" w:color="auto" w:sz="4" w:space="0"/>
              <w:bottom w:val="single" w:color="auto" w:sz="4" w:space="0"/>
              <w:right w:val="single" w:color="auto" w:sz="4" w:space="0"/>
            </w:tcBorders>
          </w:tcPr>
          <w:p w14:paraId="150ADFAD">
            <w:pPr>
              <w:pStyle w:val="28"/>
              <w:spacing w:before="0" w:after="0"/>
              <w:jc w:val="both"/>
              <w:rPr>
                <w:szCs w:val="24"/>
                <w:lang w:val="ru-RU"/>
              </w:rPr>
            </w:pPr>
          </w:p>
        </w:tc>
        <w:tc>
          <w:tcPr>
            <w:tcW w:w="2509" w:type="dxa"/>
            <w:tcBorders>
              <w:top w:val="single" w:color="auto" w:sz="4" w:space="0"/>
              <w:left w:val="single" w:color="auto" w:sz="4" w:space="0"/>
              <w:bottom w:val="single" w:color="auto" w:sz="4" w:space="0"/>
              <w:right w:val="single" w:color="auto" w:sz="4" w:space="0"/>
            </w:tcBorders>
          </w:tcPr>
          <w:p w14:paraId="5D33BA7A">
            <w:pPr>
              <w:rPr>
                <w:lang w:val="ru-RU"/>
              </w:rPr>
            </w:pPr>
          </w:p>
        </w:tc>
      </w:tr>
      <w:tr w14:paraId="0AF3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70" w:type="dxa"/>
            <w:gridSpan w:val="3"/>
            <w:tcBorders>
              <w:top w:val="single" w:color="auto" w:sz="4" w:space="0"/>
              <w:left w:val="single" w:color="auto" w:sz="4" w:space="0"/>
              <w:bottom w:val="single" w:color="auto" w:sz="4" w:space="0"/>
              <w:right w:val="single" w:color="auto" w:sz="4" w:space="0"/>
            </w:tcBorders>
          </w:tcPr>
          <w:p w14:paraId="7C4E12DF">
            <w:pPr>
              <w:pStyle w:val="28"/>
              <w:spacing w:before="0" w:after="0"/>
              <w:jc w:val="both"/>
              <w:rPr>
                <w:szCs w:val="24"/>
                <w:lang w:val="ru-RU"/>
              </w:rPr>
            </w:pPr>
            <w:r>
              <w:rPr>
                <w:b/>
                <w:bCs/>
                <w:snapToGrid w:val="0"/>
                <w:color w:val="000000"/>
              </w:rPr>
              <w:t>ОБЩИЕ СПЕЦИФИКАЦИИ</w:t>
            </w:r>
          </w:p>
        </w:tc>
        <w:tc>
          <w:tcPr>
            <w:tcW w:w="3320" w:type="dxa"/>
            <w:gridSpan w:val="2"/>
            <w:tcBorders>
              <w:top w:val="single" w:color="auto" w:sz="4" w:space="0"/>
              <w:left w:val="single" w:color="auto" w:sz="4" w:space="0"/>
              <w:bottom w:val="single" w:color="auto" w:sz="4" w:space="0"/>
              <w:right w:val="single" w:color="auto" w:sz="4" w:space="0"/>
            </w:tcBorders>
          </w:tcPr>
          <w:p w14:paraId="5A36FF7A">
            <w:pPr>
              <w:rPr>
                <w:lang w:val="ru-RU"/>
              </w:rPr>
            </w:pPr>
          </w:p>
        </w:tc>
      </w:tr>
      <w:tr w14:paraId="1F6D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48BC5B14">
            <w:pPr>
              <w:jc w:val="both"/>
              <w:rPr>
                <w:lang w:val="ru-RU"/>
              </w:rPr>
            </w:pPr>
            <w:r>
              <w:rPr>
                <w:rFonts w:eastAsia="SimSun"/>
              </w:rPr>
              <w:t>Конструкция</w:t>
            </w:r>
          </w:p>
        </w:tc>
        <w:tc>
          <w:tcPr>
            <w:tcW w:w="4920" w:type="dxa"/>
            <w:gridSpan w:val="3"/>
            <w:tcBorders>
              <w:top w:val="single" w:color="auto" w:sz="4" w:space="0"/>
              <w:left w:val="single" w:color="auto" w:sz="4" w:space="0"/>
              <w:bottom w:val="single" w:color="auto" w:sz="4" w:space="0"/>
              <w:right w:val="single" w:color="auto" w:sz="4" w:space="0"/>
            </w:tcBorders>
          </w:tcPr>
          <w:p w14:paraId="7CFEE973">
            <w:pPr>
              <w:pStyle w:val="28"/>
              <w:spacing w:before="0" w:after="0"/>
              <w:jc w:val="both"/>
              <w:rPr>
                <w:szCs w:val="24"/>
                <w:lang w:val="ru-RU"/>
              </w:rPr>
            </w:pPr>
            <w:r>
              <w:rPr>
                <w:rFonts w:eastAsia="SimSun"/>
                <w:szCs w:val="24"/>
                <w:lang w:val="ru-RU"/>
              </w:rPr>
              <w:t>Консольный тип (боковая опора), наличие ножного педального механизма вращения мачты на 360°. Размер купола: квадратный не менее 3х3 м (или круглый диаметром не менее 3.5 м). Встроенная автономная система светодиодного освещения (светодиоды интегрированы в спицы, питание от собственной солнечной панели на макушке купола).</w:t>
            </w:r>
          </w:p>
        </w:tc>
        <w:tc>
          <w:tcPr>
            <w:tcW w:w="2509" w:type="dxa"/>
            <w:tcBorders>
              <w:top w:val="single" w:color="auto" w:sz="4" w:space="0"/>
              <w:left w:val="single" w:color="auto" w:sz="4" w:space="0"/>
              <w:bottom w:val="single" w:color="auto" w:sz="4" w:space="0"/>
              <w:right w:val="single" w:color="auto" w:sz="4" w:space="0"/>
            </w:tcBorders>
          </w:tcPr>
          <w:p w14:paraId="5A4EE327">
            <w:pPr>
              <w:rPr>
                <w:lang w:val="ru-RU"/>
              </w:rPr>
            </w:pPr>
          </w:p>
        </w:tc>
      </w:tr>
      <w:tr w14:paraId="3ECA2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3A1B7FC7">
            <w:pPr>
              <w:rPr>
                <w:lang w:val="ru-RU"/>
              </w:rPr>
            </w:pPr>
            <w:r>
              <w:rPr>
                <w:rFonts w:eastAsia="SimSun"/>
              </w:rPr>
              <w:t>Каркас (алюминиевый профиль)</w:t>
            </w:r>
          </w:p>
        </w:tc>
        <w:tc>
          <w:tcPr>
            <w:tcW w:w="4920" w:type="dxa"/>
            <w:gridSpan w:val="3"/>
            <w:tcBorders>
              <w:top w:val="single" w:color="auto" w:sz="4" w:space="0"/>
              <w:left w:val="single" w:color="auto" w:sz="4" w:space="0"/>
              <w:bottom w:val="single" w:color="auto" w:sz="4" w:space="0"/>
              <w:right w:val="single" w:color="auto" w:sz="4" w:space="0"/>
            </w:tcBorders>
          </w:tcPr>
          <w:p w14:paraId="4C01CE62">
            <w:pPr>
              <w:rPr>
                <w:lang w:val="ru-RU"/>
              </w:rPr>
            </w:pPr>
            <w:r>
              <w:rPr>
                <w:rFonts w:eastAsia="SimSun"/>
                <w:lang w:val="ru-RU"/>
              </w:rPr>
              <w:t xml:space="preserve">Усиленный экструдированный алюминиевый профиль. Мачта: сечение не менее 80х50 мм, толщина стенки несущей мачты строго не менее 1.5–2.0 мм. </w:t>
            </w:r>
            <w:r>
              <w:rPr>
                <w:rFonts w:eastAsia="SimSun"/>
              </w:rPr>
              <w:t>Количество спиц: не менее 8 шт.</w:t>
            </w:r>
          </w:p>
        </w:tc>
        <w:tc>
          <w:tcPr>
            <w:tcW w:w="2509" w:type="dxa"/>
            <w:tcBorders>
              <w:top w:val="single" w:color="auto" w:sz="4" w:space="0"/>
              <w:left w:val="single" w:color="auto" w:sz="4" w:space="0"/>
              <w:bottom w:val="single" w:color="auto" w:sz="4" w:space="0"/>
              <w:right w:val="single" w:color="auto" w:sz="4" w:space="0"/>
            </w:tcBorders>
          </w:tcPr>
          <w:p w14:paraId="7C575E50">
            <w:pPr>
              <w:rPr>
                <w:lang w:val="ru-RU"/>
              </w:rPr>
            </w:pPr>
          </w:p>
        </w:tc>
      </w:tr>
      <w:tr w14:paraId="7978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6C13B54F">
            <w:pPr>
              <w:rPr>
                <w:rFonts w:eastAsia="SimSun"/>
              </w:rPr>
            </w:pPr>
            <w:r>
              <w:rPr>
                <w:rFonts w:eastAsia="SimSun"/>
              </w:rPr>
              <w:t>Купол (ткань)</w:t>
            </w:r>
          </w:p>
        </w:tc>
        <w:tc>
          <w:tcPr>
            <w:tcW w:w="4920" w:type="dxa"/>
            <w:gridSpan w:val="3"/>
            <w:tcBorders>
              <w:top w:val="single" w:color="auto" w:sz="4" w:space="0"/>
              <w:left w:val="single" w:color="auto" w:sz="4" w:space="0"/>
              <w:bottom w:val="single" w:color="auto" w:sz="4" w:space="0"/>
              <w:right w:val="single" w:color="auto" w:sz="4" w:space="0"/>
            </w:tcBorders>
          </w:tcPr>
          <w:p w14:paraId="4B1F8DA3">
            <w:pPr>
              <w:rPr>
                <w:rFonts w:eastAsia="SimSun"/>
              </w:rPr>
            </w:pPr>
            <w:r>
              <w:rPr>
                <w:rFonts w:eastAsia="SimSun"/>
                <w:lang w:val="ru-RU"/>
              </w:rPr>
              <w:t xml:space="preserve">Профессиональная уличная ткань: 100% акрил, пигментированный (окрашенный) в жидкой массе до стадии экструзии волокон. Плотность не менее 280-300 г/м². Высокотехнологичная водоотталкивающая фторуглеродная пропитка. Защита от УФ-излучения не ниже </w:t>
            </w:r>
            <w:r>
              <w:rPr>
                <w:rFonts w:eastAsia="SimSun"/>
              </w:rPr>
              <w:t>UPF</w:t>
            </w:r>
            <w:r>
              <w:rPr>
                <w:rFonts w:eastAsia="SimSun"/>
                <w:lang w:val="ru-RU"/>
              </w:rPr>
              <w:t xml:space="preserve"> 50+. Индекс стойкости цвета к выгоранию не ниже 7-8 баллов по международной шкале </w:t>
            </w:r>
            <w:r>
              <w:rPr>
                <w:rFonts w:eastAsia="SimSun"/>
              </w:rPr>
              <w:t>ISO</w:t>
            </w:r>
            <w:r>
              <w:rPr>
                <w:rFonts w:eastAsia="SimSun"/>
                <w:lang w:val="ru-RU"/>
              </w:rPr>
              <w:t xml:space="preserve"> 105-</w:t>
            </w:r>
            <w:r>
              <w:rPr>
                <w:rFonts w:eastAsia="SimSun"/>
              </w:rPr>
              <w:t>B</w:t>
            </w:r>
            <w:r>
              <w:rPr>
                <w:rFonts w:eastAsia="SimSun"/>
                <w:lang w:val="ru-RU"/>
              </w:rPr>
              <w:t xml:space="preserve">02. </w:t>
            </w:r>
            <w:r>
              <w:rPr>
                <w:rFonts w:eastAsia="SimSun"/>
              </w:rPr>
              <w:t>Вентиляционный клапан в верхней точке купола.</w:t>
            </w:r>
          </w:p>
        </w:tc>
        <w:tc>
          <w:tcPr>
            <w:tcW w:w="2509" w:type="dxa"/>
            <w:tcBorders>
              <w:top w:val="single" w:color="auto" w:sz="4" w:space="0"/>
              <w:left w:val="single" w:color="auto" w:sz="4" w:space="0"/>
              <w:bottom w:val="single" w:color="auto" w:sz="4" w:space="0"/>
              <w:right w:val="single" w:color="auto" w:sz="4" w:space="0"/>
            </w:tcBorders>
          </w:tcPr>
          <w:p w14:paraId="14897C76">
            <w:pPr>
              <w:rPr>
                <w:lang w:val="ru-RU"/>
              </w:rPr>
            </w:pPr>
          </w:p>
        </w:tc>
      </w:tr>
      <w:tr w14:paraId="4D4F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061" w:type="dxa"/>
            <w:tcBorders>
              <w:top w:val="single" w:color="auto" w:sz="4" w:space="0"/>
              <w:left w:val="single" w:color="auto" w:sz="4" w:space="0"/>
              <w:bottom w:val="single" w:color="auto" w:sz="4" w:space="0"/>
              <w:right w:val="single" w:color="auto" w:sz="4" w:space="0"/>
            </w:tcBorders>
          </w:tcPr>
          <w:p w14:paraId="1C92931E">
            <w:pPr>
              <w:rPr>
                <w:rFonts w:eastAsia="SimSun"/>
              </w:rPr>
            </w:pPr>
            <w:r>
              <w:rPr>
                <w:rFonts w:eastAsia="SimSun"/>
              </w:rPr>
              <w:t>База и Механика</w:t>
            </w:r>
          </w:p>
        </w:tc>
        <w:tc>
          <w:tcPr>
            <w:tcW w:w="4920" w:type="dxa"/>
            <w:gridSpan w:val="3"/>
            <w:tcBorders>
              <w:top w:val="single" w:color="auto" w:sz="4" w:space="0"/>
              <w:left w:val="single" w:color="auto" w:sz="4" w:space="0"/>
              <w:bottom w:val="single" w:color="auto" w:sz="4" w:space="0"/>
              <w:right w:val="single" w:color="auto" w:sz="4" w:space="0"/>
            </w:tcBorders>
          </w:tcPr>
          <w:p w14:paraId="3E22A237">
            <w:pPr>
              <w:rPr>
                <w:rFonts w:eastAsia="SimSun"/>
                <w:lang w:val="ru-RU"/>
              </w:rPr>
            </w:pPr>
            <w:r>
              <w:rPr>
                <w:rFonts w:eastAsia="SimSun"/>
                <w:lang w:val="ru-RU"/>
              </w:rPr>
              <w:t>База-крестовина с тяжелыми элементами утяжеления из монолитного природного камня (массив полированного гранита) или эквивалентного архитектурного материала. Общий вес утяжелителей на один зонт строго не менее 100–120 кг для предотвращения опрокидывания ветром. Плавный лебедочный механизм (стальной трос) для открытия купола. Ветроустойчивость: до 12-15 м/с.</w:t>
            </w:r>
          </w:p>
        </w:tc>
        <w:tc>
          <w:tcPr>
            <w:tcW w:w="2509" w:type="dxa"/>
            <w:tcBorders>
              <w:top w:val="single" w:color="auto" w:sz="4" w:space="0"/>
              <w:left w:val="single" w:color="auto" w:sz="4" w:space="0"/>
              <w:bottom w:val="single" w:color="auto" w:sz="4" w:space="0"/>
              <w:right w:val="single" w:color="auto" w:sz="4" w:space="0"/>
            </w:tcBorders>
          </w:tcPr>
          <w:p w14:paraId="51B5FA49">
            <w:pPr>
              <w:rPr>
                <w:lang w:val="ru-RU"/>
              </w:rPr>
            </w:pPr>
          </w:p>
        </w:tc>
      </w:tr>
      <w:tr w14:paraId="4442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03FA3268">
            <w:pPr>
              <w:jc w:val="both"/>
              <w:rPr>
                <w:lang w:val="ru-RU"/>
              </w:rPr>
            </w:pPr>
            <w:r>
              <w:rPr>
                <w:rFonts w:eastAsia="SimSun"/>
              </w:rPr>
              <w:t>Тип конструкции</w:t>
            </w:r>
          </w:p>
        </w:tc>
        <w:tc>
          <w:tcPr>
            <w:tcW w:w="4920" w:type="dxa"/>
            <w:gridSpan w:val="3"/>
            <w:tcBorders>
              <w:top w:val="single" w:color="auto" w:sz="4" w:space="0"/>
              <w:left w:val="single" w:color="auto" w:sz="4" w:space="0"/>
              <w:bottom w:val="single" w:color="auto" w:sz="4" w:space="0"/>
              <w:right w:val="single" w:color="auto" w:sz="4" w:space="0"/>
            </w:tcBorders>
          </w:tcPr>
          <w:p w14:paraId="306C6B9E">
            <w:pPr>
              <w:pStyle w:val="28"/>
              <w:spacing w:before="0" w:after="0"/>
              <w:jc w:val="both"/>
              <w:rPr>
                <w:szCs w:val="24"/>
                <w:lang w:val="ru-RU"/>
              </w:rPr>
            </w:pPr>
            <w:r>
              <w:rPr>
                <w:rFonts w:eastAsia="SimSun"/>
                <w:szCs w:val="24"/>
                <w:lang w:val="ru-RU"/>
              </w:rPr>
              <w:t>Консольный механизм с выносной опорой, вращение на 360 градусов, система легкого лебедочного открывания.</w:t>
            </w:r>
          </w:p>
        </w:tc>
        <w:tc>
          <w:tcPr>
            <w:tcW w:w="2509" w:type="dxa"/>
            <w:tcBorders>
              <w:top w:val="single" w:color="auto" w:sz="4" w:space="0"/>
              <w:left w:val="single" w:color="auto" w:sz="4" w:space="0"/>
              <w:bottom w:val="single" w:color="auto" w:sz="4" w:space="0"/>
              <w:right w:val="single" w:color="auto" w:sz="4" w:space="0"/>
            </w:tcBorders>
          </w:tcPr>
          <w:p w14:paraId="4A6949D7">
            <w:pPr>
              <w:rPr>
                <w:lang w:val="ru-RU"/>
              </w:rPr>
            </w:pPr>
          </w:p>
        </w:tc>
      </w:tr>
      <w:tr w14:paraId="7315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49551735">
            <w:pPr>
              <w:rPr>
                <w:lang w:val="ru-RU"/>
              </w:rPr>
            </w:pPr>
            <w:r>
              <w:rPr>
                <w:rFonts w:eastAsia="SimSun"/>
              </w:rPr>
              <w:t>Размеры купола</w:t>
            </w:r>
          </w:p>
        </w:tc>
        <w:tc>
          <w:tcPr>
            <w:tcW w:w="4920" w:type="dxa"/>
            <w:gridSpan w:val="3"/>
            <w:tcBorders>
              <w:top w:val="single" w:color="auto" w:sz="4" w:space="0"/>
              <w:left w:val="single" w:color="auto" w:sz="4" w:space="0"/>
              <w:bottom w:val="single" w:color="auto" w:sz="4" w:space="0"/>
              <w:right w:val="single" w:color="auto" w:sz="4" w:space="0"/>
            </w:tcBorders>
          </w:tcPr>
          <w:p w14:paraId="606825F1">
            <w:pPr>
              <w:rPr>
                <w:lang w:val="ru-RU"/>
              </w:rPr>
            </w:pPr>
            <w:r>
              <w:rPr>
                <w:rFonts w:eastAsia="SimSun"/>
                <w:lang w:val="ru-RU"/>
              </w:rPr>
              <w:t>Квадрат не менее 3х3 метра или круг диаметром не менее 3.5 м.</w:t>
            </w:r>
          </w:p>
        </w:tc>
        <w:tc>
          <w:tcPr>
            <w:tcW w:w="2509" w:type="dxa"/>
            <w:tcBorders>
              <w:top w:val="single" w:color="auto" w:sz="4" w:space="0"/>
              <w:left w:val="single" w:color="auto" w:sz="4" w:space="0"/>
              <w:bottom w:val="single" w:color="auto" w:sz="4" w:space="0"/>
              <w:right w:val="single" w:color="auto" w:sz="4" w:space="0"/>
            </w:tcBorders>
          </w:tcPr>
          <w:p w14:paraId="168478A7">
            <w:pPr>
              <w:rPr>
                <w:lang w:val="ru-RU"/>
              </w:rPr>
            </w:pPr>
          </w:p>
        </w:tc>
      </w:tr>
      <w:tr w14:paraId="05CD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152819AB">
            <w:pPr>
              <w:rPr>
                <w:lang w:val="ru-RU"/>
              </w:rPr>
            </w:pPr>
            <w:r>
              <w:rPr>
                <w:rFonts w:eastAsia="SimSun"/>
              </w:rPr>
              <w:t>Материал каркаса</w:t>
            </w:r>
          </w:p>
        </w:tc>
        <w:tc>
          <w:tcPr>
            <w:tcW w:w="4920" w:type="dxa"/>
            <w:gridSpan w:val="3"/>
            <w:tcBorders>
              <w:top w:val="single" w:color="auto" w:sz="4" w:space="0"/>
              <w:left w:val="single" w:color="auto" w:sz="4" w:space="0"/>
              <w:bottom w:val="single" w:color="auto" w:sz="4" w:space="0"/>
              <w:right w:val="single" w:color="auto" w:sz="4" w:space="0"/>
            </w:tcBorders>
          </w:tcPr>
          <w:p w14:paraId="3E6D61B4">
            <w:pPr>
              <w:contextualSpacing/>
              <w:rPr>
                <w:lang w:val="ru-RU"/>
              </w:rPr>
            </w:pPr>
            <w:r>
              <w:rPr>
                <w:rFonts w:eastAsia="SimSun"/>
                <w:lang w:val="ru-RU"/>
              </w:rPr>
              <w:t>Алюминиевый профиль с архитектурным антикоррозийным порошковым покрытием. Увеличенная толщина стенки (1.5-2.0 мм) обязательна для исключения деформации при ветровых нагрузках.</w:t>
            </w:r>
          </w:p>
        </w:tc>
        <w:tc>
          <w:tcPr>
            <w:tcW w:w="2509" w:type="dxa"/>
            <w:tcBorders>
              <w:top w:val="single" w:color="auto" w:sz="4" w:space="0"/>
              <w:left w:val="single" w:color="auto" w:sz="4" w:space="0"/>
              <w:bottom w:val="single" w:color="auto" w:sz="4" w:space="0"/>
              <w:right w:val="single" w:color="auto" w:sz="4" w:space="0"/>
            </w:tcBorders>
          </w:tcPr>
          <w:p w14:paraId="054A1328">
            <w:pPr>
              <w:rPr>
                <w:lang w:val="ru-RU"/>
              </w:rPr>
            </w:pPr>
          </w:p>
        </w:tc>
      </w:tr>
      <w:tr w14:paraId="3186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3AB5FBEF">
            <w:pPr>
              <w:jc w:val="both"/>
              <w:rPr>
                <w:b/>
                <w:lang w:val="ru-RU"/>
              </w:rPr>
            </w:pPr>
            <w:r>
              <w:rPr>
                <w:rFonts w:eastAsia="SimSun"/>
              </w:rPr>
              <w:t>Материал купола</w:t>
            </w:r>
          </w:p>
        </w:tc>
        <w:tc>
          <w:tcPr>
            <w:tcW w:w="4920" w:type="dxa"/>
            <w:gridSpan w:val="3"/>
            <w:tcBorders>
              <w:top w:val="single" w:color="auto" w:sz="4" w:space="0"/>
              <w:left w:val="single" w:color="auto" w:sz="4" w:space="0"/>
              <w:bottom w:val="single" w:color="auto" w:sz="4" w:space="0"/>
              <w:right w:val="single" w:color="auto" w:sz="4" w:space="0"/>
            </w:tcBorders>
          </w:tcPr>
          <w:p w14:paraId="728EDCA8">
            <w:pPr>
              <w:contextualSpacing/>
              <w:rPr>
                <w:lang w:val="ru-RU"/>
              </w:rPr>
            </w:pPr>
            <w:r>
              <w:rPr>
                <w:rFonts w:eastAsia="SimSun"/>
                <w:lang w:val="ru-RU"/>
              </w:rPr>
              <w:t>100% акриловая ткань, окрашенная в массе. Обязательные свойства: устойчивость к образованию плесени, полная влагозащита, наивысший уровень устойчивости к потере цвета от солнечных лучей.</w:t>
            </w:r>
          </w:p>
        </w:tc>
        <w:tc>
          <w:tcPr>
            <w:tcW w:w="2509" w:type="dxa"/>
            <w:tcBorders>
              <w:top w:val="single" w:color="auto" w:sz="4" w:space="0"/>
              <w:left w:val="single" w:color="auto" w:sz="4" w:space="0"/>
              <w:bottom w:val="single" w:color="auto" w:sz="4" w:space="0"/>
              <w:right w:val="single" w:color="auto" w:sz="4" w:space="0"/>
            </w:tcBorders>
          </w:tcPr>
          <w:p w14:paraId="6DB41B41">
            <w:pPr>
              <w:rPr>
                <w:lang w:val="ru-RU"/>
              </w:rPr>
            </w:pPr>
          </w:p>
        </w:tc>
      </w:tr>
      <w:tr w14:paraId="45BE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8" w:hRule="atLeast"/>
        </w:trPr>
        <w:tc>
          <w:tcPr>
            <w:tcW w:w="3061" w:type="dxa"/>
            <w:tcBorders>
              <w:top w:val="single" w:color="auto" w:sz="4" w:space="0"/>
              <w:left w:val="single" w:color="auto" w:sz="4" w:space="0"/>
              <w:bottom w:val="single" w:color="auto" w:sz="4" w:space="0"/>
              <w:right w:val="single" w:color="auto" w:sz="4" w:space="0"/>
            </w:tcBorders>
          </w:tcPr>
          <w:p w14:paraId="101493DA">
            <w:pPr>
              <w:jc w:val="both"/>
              <w:rPr>
                <w:lang w:val="ru-RU"/>
              </w:rPr>
            </w:pPr>
            <w:r>
              <w:rPr>
                <w:rFonts w:eastAsia="SimSun"/>
              </w:rPr>
              <w:t>Основание (база)</w:t>
            </w:r>
          </w:p>
        </w:tc>
        <w:tc>
          <w:tcPr>
            <w:tcW w:w="4920" w:type="dxa"/>
            <w:gridSpan w:val="3"/>
            <w:tcBorders>
              <w:top w:val="single" w:color="auto" w:sz="4" w:space="0"/>
              <w:left w:val="single" w:color="auto" w:sz="4" w:space="0"/>
              <w:bottom w:val="single" w:color="auto" w:sz="4" w:space="0"/>
              <w:right w:val="single" w:color="auto" w:sz="4" w:space="0"/>
            </w:tcBorders>
          </w:tcPr>
          <w:p w14:paraId="0078C2E7">
            <w:pPr>
              <w:contextualSpacing/>
              <w:rPr>
                <w:lang w:val="ru-RU"/>
              </w:rPr>
            </w:pPr>
            <w:r>
              <w:rPr>
                <w:rFonts w:eastAsia="SimSun"/>
                <w:lang w:val="ru-RU"/>
              </w:rPr>
              <w:t>Тяжелая каменная база общим весом не менее 100–120 кг. Обязательно наличие интегрированных скрытых колесиков со стопорным механизмом для возможности перемещения зонта по террасе.</w:t>
            </w:r>
          </w:p>
        </w:tc>
        <w:tc>
          <w:tcPr>
            <w:tcW w:w="2509" w:type="dxa"/>
            <w:tcBorders>
              <w:top w:val="single" w:color="auto" w:sz="4" w:space="0"/>
              <w:left w:val="single" w:color="auto" w:sz="4" w:space="0"/>
              <w:bottom w:val="single" w:color="auto" w:sz="4" w:space="0"/>
              <w:right w:val="single" w:color="auto" w:sz="4" w:space="0"/>
            </w:tcBorders>
          </w:tcPr>
          <w:p w14:paraId="33D9CDF1">
            <w:pPr>
              <w:rPr>
                <w:lang w:val="ru-RU"/>
              </w:rPr>
            </w:pPr>
          </w:p>
        </w:tc>
      </w:tr>
      <w:tr w14:paraId="41FB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061" w:type="dxa"/>
            <w:tcBorders>
              <w:top w:val="single" w:color="auto" w:sz="4" w:space="0"/>
              <w:left w:val="single" w:color="auto" w:sz="4" w:space="0"/>
              <w:bottom w:val="single" w:color="auto" w:sz="4" w:space="0"/>
              <w:right w:val="single" w:color="auto" w:sz="4" w:space="0"/>
            </w:tcBorders>
            <w:vAlign w:val="center"/>
          </w:tcPr>
          <w:p w14:paraId="35B3EBF6">
            <w:pPr>
              <w:jc w:val="both"/>
              <w:rPr>
                <w:rFonts w:eastAsia="SimSun"/>
              </w:rPr>
            </w:pPr>
            <w:r>
              <w:t>Гарантийный срок</w:t>
            </w:r>
          </w:p>
        </w:tc>
        <w:tc>
          <w:tcPr>
            <w:tcW w:w="4920" w:type="dxa"/>
            <w:gridSpan w:val="3"/>
            <w:tcBorders>
              <w:top w:val="single" w:color="auto" w:sz="4" w:space="0"/>
              <w:left w:val="single" w:color="auto" w:sz="4" w:space="0"/>
              <w:bottom w:val="single" w:color="auto" w:sz="4" w:space="0"/>
              <w:right w:val="single" w:color="auto" w:sz="4" w:space="0"/>
            </w:tcBorders>
            <w:vAlign w:val="center"/>
          </w:tcPr>
          <w:p w14:paraId="526FFFA7">
            <w:pPr>
              <w:pStyle w:val="28"/>
              <w:spacing w:before="0" w:after="0"/>
              <w:jc w:val="both"/>
              <w:rPr>
                <w:rFonts w:eastAsia="SimSun"/>
                <w:lang w:val="ru-RU"/>
              </w:rPr>
            </w:pPr>
            <w:r>
              <w:rPr>
                <w:szCs w:val="24"/>
                <w:lang w:val="ru-RU"/>
              </w:rPr>
              <w:t xml:space="preserve">Не менее </w:t>
            </w:r>
            <w:r>
              <w:rPr>
                <w:szCs w:val="24"/>
              </w:rPr>
              <w:t xml:space="preserve">12 месяцев </w:t>
            </w:r>
          </w:p>
        </w:tc>
        <w:tc>
          <w:tcPr>
            <w:tcW w:w="2509" w:type="dxa"/>
            <w:tcBorders>
              <w:top w:val="single" w:color="auto" w:sz="4" w:space="0"/>
              <w:left w:val="single" w:color="auto" w:sz="4" w:space="0"/>
              <w:bottom w:val="single" w:color="auto" w:sz="4" w:space="0"/>
              <w:right w:val="single" w:color="auto" w:sz="4" w:space="0"/>
            </w:tcBorders>
          </w:tcPr>
          <w:p w14:paraId="2DAF87DB">
            <w:pPr>
              <w:rPr>
                <w:lang w:val="ru-RU"/>
              </w:rPr>
            </w:pPr>
          </w:p>
        </w:tc>
      </w:tr>
      <w:tr w14:paraId="14C8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90"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6CABC59A">
            <w:pPr>
              <w:pStyle w:val="38"/>
              <w:ind w:left="0"/>
              <w:jc w:val="center"/>
              <w:rPr>
                <w:b/>
                <w:lang w:val="ru-RU"/>
              </w:rPr>
            </w:pPr>
            <w:r>
              <w:rPr>
                <w:rFonts w:eastAsia="SimSun"/>
                <w:b/>
                <w:bCs/>
                <w:lang w:val="ru-RU"/>
              </w:rPr>
              <w:t>Комплект летней уличной мебели (стол и стулья)</w:t>
            </w:r>
          </w:p>
        </w:tc>
      </w:tr>
      <w:tr w14:paraId="5E16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90"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tbl>
            <w:tblPr>
              <w:tblStyle w:val="8"/>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3"/>
            </w:tblGrid>
            <w:tr w14:paraId="58F9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923" w:type="dxa"/>
                  <w:tcBorders>
                    <w:top w:val="single" w:color="auto" w:sz="4" w:space="0"/>
                    <w:left w:val="single" w:color="auto" w:sz="4" w:space="0"/>
                    <w:bottom w:val="single" w:color="auto" w:sz="4" w:space="0"/>
                    <w:right w:val="single" w:color="auto" w:sz="4" w:space="0"/>
                  </w:tcBorders>
                </w:tcPr>
                <w:p w14:paraId="6C38C561">
                  <w:pPr>
                    <w:tabs>
                      <w:tab w:val="center" w:pos="4782"/>
                      <w:tab w:val="left" w:pos="8014"/>
                    </w:tabs>
                    <w:jc w:val="center"/>
                    <w:rPr>
                      <w:b/>
                      <w:color w:val="000000"/>
                      <w:lang w:val="ru-RU" w:eastAsia="ru-RU"/>
                    </w:rPr>
                  </w:pPr>
                  <w:r>
                    <w:rPr>
                      <w:b/>
                      <w:lang w:val="ru-RU"/>
                    </w:rPr>
                    <w:t>Поставка должна предусматривать доставку и отгрузку товаров до места назначения.</w:t>
                  </w:r>
                </w:p>
              </w:tc>
            </w:tr>
          </w:tbl>
          <w:p w14:paraId="669ADCD4">
            <w:pPr>
              <w:pStyle w:val="38"/>
              <w:ind w:left="0"/>
              <w:rPr>
                <w:b/>
                <w:bCs/>
                <w:lang w:val="ru-RU"/>
              </w:rPr>
            </w:pPr>
          </w:p>
        </w:tc>
      </w:tr>
      <w:tr w14:paraId="15E62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81" w:type="dxa"/>
            <w:gridSpan w:val="4"/>
            <w:tcBorders>
              <w:top w:val="single" w:color="auto" w:sz="4" w:space="0"/>
              <w:left w:val="single" w:color="auto" w:sz="4" w:space="0"/>
              <w:bottom w:val="single" w:color="auto" w:sz="4" w:space="0"/>
              <w:right w:val="single" w:color="auto" w:sz="4" w:space="0"/>
            </w:tcBorders>
          </w:tcPr>
          <w:p w14:paraId="242E34F2">
            <w:pPr>
              <w:pStyle w:val="28"/>
              <w:spacing w:before="0" w:after="0"/>
              <w:jc w:val="both"/>
              <w:rPr>
                <w:szCs w:val="24"/>
                <w:lang w:val="ru-RU"/>
              </w:rPr>
            </w:pPr>
            <w:r>
              <w:rPr>
                <w:b/>
                <w:lang w:val="ru-RU"/>
              </w:rPr>
              <w:t>Количество: 7 комплект</w:t>
            </w:r>
          </w:p>
        </w:tc>
        <w:tc>
          <w:tcPr>
            <w:tcW w:w="2509" w:type="dxa"/>
            <w:tcBorders>
              <w:top w:val="single" w:color="auto" w:sz="4" w:space="0"/>
              <w:left w:val="single" w:color="auto" w:sz="4" w:space="0"/>
              <w:bottom w:val="single" w:color="auto" w:sz="4" w:space="0"/>
              <w:right w:val="single" w:color="auto" w:sz="4" w:space="0"/>
            </w:tcBorders>
          </w:tcPr>
          <w:p w14:paraId="1BB1FA90">
            <w:pPr>
              <w:rPr>
                <w:lang w:val="ru-RU"/>
              </w:rPr>
            </w:pPr>
          </w:p>
        </w:tc>
      </w:tr>
      <w:tr w14:paraId="4646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81" w:type="dxa"/>
            <w:gridSpan w:val="4"/>
            <w:tcBorders>
              <w:top w:val="single" w:color="auto" w:sz="4" w:space="0"/>
              <w:left w:val="single" w:color="auto" w:sz="4" w:space="0"/>
              <w:bottom w:val="single" w:color="auto" w:sz="4" w:space="0"/>
              <w:right w:val="single" w:color="auto" w:sz="4" w:space="0"/>
            </w:tcBorders>
          </w:tcPr>
          <w:p w14:paraId="337AF8E8">
            <w:pPr>
              <w:pStyle w:val="28"/>
              <w:spacing w:before="0" w:after="0"/>
              <w:jc w:val="both"/>
              <w:rPr>
                <w:szCs w:val="24"/>
                <w:lang w:val="ru-RU"/>
              </w:rPr>
            </w:pPr>
            <w:r>
              <w:rPr>
                <w:b/>
                <w:bCs/>
                <w:snapToGrid w:val="0"/>
                <w:color w:val="000000"/>
              </w:rPr>
              <w:t>ОБЩИЕ СПЕЦИФИКАЦИИ</w:t>
            </w:r>
          </w:p>
        </w:tc>
        <w:tc>
          <w:tcPr>
            <w:tcW w:w="2509" w:type="dxa"/>
            <w:tcBorders>
              <w:top w:val="single" w:color="auto" w:sz="4" w:space="0"/>
              <w:left w:val="single" w:color="auto" w:sz="4" w:space="0"/>
              <w:bottom w:val="single" w:color="auto" w:sz="4" w:space="0"/>
              <w:right w:val="single" w:color="auto" w:sz="4" w:space="0"/>
            </w:tcBorders>
          </w:tcPr>
          <w:p w14:paraId="0FABA0D8">
            <w:pPr>
              <w:rPr>
                <w:lang w:val="ru-RU"/>
              </w:rPr>
            </w:pPr>
          </w:p>
        </w:tc>
      </w:tr>
      <w:tr w14:paraId="4FB2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0F1EF545">
            <w:pPr>
              <w:jc w:val="both"/>
              <w:rPr>
                <w:lang w:val="ru-RU"/>
              </w:rPr>
            </w:pPr>
            <w:r>
              <w:rPr>
                <w:rFonts w:eastAsia="SimSun"/>
              </w:rPr>
              <w:t>Габариты и конструкция</w:t>
            </w:r>
          </w:p>
        </w:tc>
        <w:tc>
          <w:tcPr>
            <w:tcW w:w="4920" w:type="dxa"/>
            <w:gridSpan w:val="3"/>
            <w:tcBorders>
              <w:top w:val="single" w:color="auto" w:sz="4" w:space="0"/>
              <w:left w:val="single" w:color="auto" w:sz="4" w:space="0"/>
              <w:bottom w:val="single" w:color="auto" w:sz="4" w:space="0"/>
              <w:right w:val="single" w:color="auto" w:sz="4" w:space="0"/>
            </w:tcBorders>
          </w:tcPr>
          <w:p w14:paraId="31B4089F">
            <w:pPr>
              <w:pStyle w:val="28"/>
              <w:spacing w:before="0" w:after="0"/>
              <w:jc w:val="both"/>
              <w:rPr>
                <w:szCs w:val="24"/>
                <w:lang w:val="ru-RU"/>
              </w:rPr>
            </w:pPr>
            <w:r>
              <w:rPr>
                <w:rFonts w:eastAsia="SimSun"/>
                <w:szCs w:val="24"/>
                <w:lang w:val="ru-RU"/>
              </w:rPr>
              <w:t>Стол: ориентировочно 900х900х750 мм. Кресло: ориентировочно 590х630х850 мм, штабелируемое (до 5 шт). Статическая нагрузка на посадочное место: не менее 150 кг. Наличие декоративно-функциональных накладок (подлокотников) из массива натуральной влагостойкой древесины твердых пород (с высоким содержанием природных масел, устойчивой к гниению на открытом воздухе).</w:t>
            </w:r>
          </w:p>
        </w:tc>
        <w:tc>
          <w:tcPr>
            <w:tcW w:w="2509" w:type="dxa"/>
            <w:tcBorders>
              <w:top w:val="single" w:color="auto" w:sz="4" w:space="0"/>
              <w:left w:val="single" w:color="auto" w:sz="4" w:space="0"/>
              <w:bottom w:val="single" w:color="auto" w:sz="4" w:space="0"/>
              <w:right w:val="single" w:color="auto" w:sz="4" w:space="0"/>
            </w:tcBorders>
          </w:tcPr>
          <w:p w14:paraId="62BB8A36">
            <w:pPr>
              <w:rPr>
                <w:lang w:val="ru-RU"/>
              </w:rPr>
            </w:pPr>
          </w:p>
        </w:tc>
      </w:tr>
      <w:tr w14:paraId="52D6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7EA6D567">
            <w:pPr>
              <w:jc w:val="both"/>
              <w:rPr>
                <w:rFonts w:eastAsia="SimSun"/>
              </w:rPr>
            </w:pPr>
            <w:r>
              <w:rPr>
                <w:rFonts w:eastAsia="SimSun"/>
              </w:rPr>
              <w:t>Каркас (сплав 6063-T5)</w:t>
            </w:r>
          </w:p>
        </w:tc>
        <w:tc>
          <w:tcPr>
            <w:tcW w:w="4920" w:type="dxa"/>
            <w:gridSpan w:val="3"/>
            <w:tcBorders>
              <w:top w:val="single" w:color="auto" w:sz="4" w:space="0"/>
              <w:left w:val="single" w:color="auto" w:sz="4" w:space="0"/>
              <w:bottom w:val="single" w:color="auto" w:sz="4" w:space="0"/>
              <w:right w:val="single" w:color="auto" w:sz="4" w:space="0"/>
            </w:tcBorders>
          </w:tcPr>
          <w:p w14:paraId="6155D8C9">
            <w:pPr>
              <w:pStyle w:val="28"/>
              <w:spacing w:before="0" w:after="0"/>
              <w:jc w:val="both"/>
              <w:rPr>
                <w:rFonts w:eastAsia="SimSun"/>
                <w:szCs w:val="24"/>
                <w:lang w:val="ru-RU"/>
              </w:rPr>
            </w:pPr>
            <w:r>
              <w:rPr>
                <w:rFonts w:eastAsia="SimSun"/>
                <w:szCs w:val="24"/>
                <w:lang w:val="ru-RU"/>
              </w:rPr>
              <w:t>Экструдированный алюминий. Толщина стенки: строго не менее 2.0 мм (на основных несущих опорах) и 1.5 мм (стяжки). Цельносварная конструкция, порошковое полимерное покрытие. Использование деталей из углеродистой (ржавеющей) стали на открытых участках не допускается.</w:t>
            </w:r>
          </w:p>
        </w:tc>
        <w:tc>
          <w:tcPr>
            <w:tcW w:w="2509" w:type="dxa"/>
            <w:tcBorders>
              <w:top w:val="single" w:color="auto" w:sz="4" w:space="0"/>
              <w:left w:val="single" w:color="auto" w:sz="4" w:space="0"/>
              <w:bottom w:val="single" w:color="auto" w:sz="4" w:space="0"/>
              <w:right w:val="single" w:color="auto" w:sz="4" w:space="0"/>
            </w:tcBorders>
          </w:tcPr>
          <w:p w14:paraId="356A8757">
            <w:pPr>
              <w:rPr>
                <w:lang w:val="ru-RU"/>
              </w:rPr>
            </w:pPr>
          </w:p>
        </w:tc>
      </w:tr>
      <w:tr w14:paraId="6526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1661ACCF">
            <w:pPr>
              <w:jc w:val="both"/>
              <w:rPr>
                <w:rFonts w:eastAsia="SimSun"/>
              </w:rPr>
            </w:pPr>
            <w:r>
              <w:rPr>
                <w:rFonts w:eastAsia="SimSun"/>
              </w:rPr>
              <w:t>Оплетка кресел</w:t>
            </w:r>
          </w:p>
        </w:tc>
        <w:tc>
          <w:tcPr>
            <w:tcW w:w="4920" w:type="dxa"/>
            <w:gridSpan w:val="3"/>
            <w:tcBorders>
              <w:top w:val="single" w:color="auto" w:sz="4" w:space="0"/>
              <w:left w:val="single" w:color="auto" w:sz="4" w:space="0"/>
              <w:bottom w:val="single" w:color="auto" w:sz="4" w:space="0"/>
              <w:right w:val="single" w:color="auto" w:sz="4" w:space="0"/>
            </w:tcBorders>
          </w:tcPr>
          <w:p w14:paraId="3C2F4CBA">
            <w:pPr>
              <w:pStyle w:val="28"/>
              <w:spacing w:before="0" w:after="0"/>
              <w:jc w:val="both"/>
              <w:rPr>
                <w:rFonts w:eastAsia="SimSun"/>
                <w:szCs w:val="24"/>
                <w:lang w:val="ru-RU"/>
              </w:rPr>
            </w:pPr>
            <w:r>
              <w:rPr>
                <w:rFonts w:eastAsia="SimSun"/>
                <w:szCs w:val="24"/>
                <w:lang w:val="ru-RU"/>
              </w:rPr>
              <w:t>Спинка и сиденье выполнены из коммерческого высокопрочного плетеного шнура (веревки) на основе синтетического полимера высокой плотности (</w:t>
            </w:r>
            <w:r>
              <w:rPr>
                <w:rFonts w:eastAsia="SimSun"/>
                <w:szCs w:val="24"/>
              </w:rPr>
              <w:t>HDPE</w:t>
            </w:r>
            <w:r>
              <w:rPr>
                <w:rFonts w:eastAsia="SimSun"/>
                <w:szCs w:val="24"/>
                <w:lang w:val="ru-RU"/>
              </w:rPr>
              <w:t xml:space="preserve">). </w:t>
            </w:r>
            <w:r>
              <w:rPr>
                <w:rFonts w:eastAsia="SimSun"/>
                <w:szCs w:val="24"/>
              </w:rPr>
              <w:t>Материал должен быть стойким к ультрафиолету и перепадам температур.</w:t>
            </w:r>
          </w:p>
        </w:tc>
        <w:tc>
          <w:tcPr>
            <w:tcW w:w="2509" w:type="dxa"/>
            <w:tcBorders>
              <w:top w:val="single" w:color="auto" w:sz="4" w:space="0"/>
              <w:left w:val="single" w:color="auto" w:sz="4" w:space="0"/>
              <w:bottom w:val="single" w:color="auto" w:sz="4" w:space="0"/>
              <w:right w:val="single" w:color="auto" w:sz="4" w:space="0"/>
            </w:tcBorders>
          </w:tcPr>
          <w:p w14:paraId="7D9F5901">
            <w:pPr>
              <w:rPr>
                <w:lang w:val="ru-RU"/>
              </w:rPr>
            </w:pPr>
          </w:p>
        </w:tc>
      </w:tr>
      <w:tr w14:paraId="7CBA4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0D87FC38">
            <w:pPr>
              <w:jc w:val="both"/>
              <w:rPr>
                <w:rFonts w:eastAsia="SimSun"/>
              </w:rPr>
            </w:pPr>
            <w:r>
              <w:rPr>
                <w:rFonts w:eastAsia="SimSun"/>
              </w:rPr>
              <w:t>Столешница</w:t>
            </w:r>
          </w:p>
        </w:tc>
        <w:tc>
          <w:tcPr>
            <w:tcW w:w="4920" w:type="dxa"/>
            <w:gridSpan w:val="3"/>
            <w:tcBorders>
              <w:top w:val="single" w:color="auto" w:sz="4" w:space="0"/>
              <w:left w:val="single" w:color="auto" w:sz="4" w:space="0"/>
              <w:bottom w:val="single" w:color="auto" w:sz="4" w:space="0"/>
              <w:right w:val="single" w:color="auto" w:sz="4" w:space="0"/>
            </w:tcBorders>
          </w:tcPr>
          <w:p w14:paraId="34E3B820">
            <w:pPr>
              <w:pStyle w:val="28"/>
              <w:spacing w:before="0" w:after="0"/>
              <w:jc w:val="both"/>
              <w:rPr>
                <w:rFonts w:eastAsia="SimSun"/>
                <w:szCs w:val="24"/>
                <w:lang w:val="ru-RU"/>
              </w:rPr>
            </w:pPr>
            <w:r>
              <w:rPr>
                <w:rFonts w:eastAsia="SimSun"/>
                <w:szCs w:val="24"/>
                <w:lang w:val="ru-RU"/>
              </w:rPr>
              <w:t>Строго: монолитная панель из спеченного камня (керамогранита) толщиной не менее 12 мм ИЛИ массив натуральной влагостойкой древесины твердых пород. Закаленное силикатное стекло не допускается по соображениям коммерческой безопасности и износостойкости.</w:t>
            </w:r>
          </w:p>
        </w:tc>
        <w:tc>
          <w:tcPr>
            <w:tcW w:w="2509" w:type="dxa"/>
            <w:tcBorders>
              <w:top w:val="single" w:color="auto" w:sz="4" w:space="0"/>
              <w:left w:val="single" w:color="auto" w:sz="4" w:space="0"/>
              <w:bottom w:val="single" w:color="auto" w:sz="4" w:space="0"/>
              <w:right w:val="single" w:color="auto" w:sz="4" w:space="0"/>
            </w:tcBorders>
          </w:tcPr>
          <w:p w14:paraId="1F1B7DEA">
            <w:pPr>
              <w:rPr>
                <w:lang w:val="ru-RU"/>
              </w:rPr>
            </w:pPr>
          </w:p>
        </w:tc>
      </w:tr>
      <w:tr w14:paraId="7880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127A65A8">
            <w:pPr>
              <w:jc w:val="both"/>
              <w:rPr>
                <w:rFonts w:eastAsia="SimSun"/>
              </w:rPr>
            </w:pPr>
            <w:r>
              <w:rPr>
                <w:rFonts w:eastAsia="SimSun"/>
              </w:rPr>
              <w:t>Мягкие элементы</w:t>
            </w:r>
          </w:p>
        </w:tc>
        <w:tc>
          <w:tcPr>
            <w:tcW w:w="4920" w:type="dxa"/>
            <w:gridSpan w:val="3"/>
            <w:tcBorders>
              <w:top w:val="single" w:color="auto" w:sz="4" w:space="0"/>
              <w:left w:val="single" w:color="auto" w:sz="4" w:space="0"/>
              <w:bottom w:val="single" w:color="auto" w:sz="4" w:space="0"/>
              <w:right w:val="single" w:color="auto" w:sz="4" w:space="0"/>
            </w:tcBorders>
          </w:tcPr>
          <w:p w14:paraId="7C9A8836">
            <w:pPr>
              <w:pStyle w:val="28"/>
              <w:spacing w:before="0" w:after="0"/>
              <w:jc w:val="both"/>
              <w:rPr>
                <w:rFonts w:eastAsia="SimSun"/>
                <w:szCs w:val="24"/>
                <w:lang w:val="ru-RU"/>
              </w:rPr>
            </w:pPr>
            <w:r>
              <w:rPr>
                <w:rFonts w:eastAsia="SimSun"/>
                <w:szCs w:val="24"/>
                <w:lang w:val="ru-RU"/>
              </w:rPr>
              <w:t>Наполнитель подушек сидений: ретикулированный пенополиуретан (специализированная дренажная пена с открытыми порами для быстрого пропускания влаги и высыхания), плотность не менее 30 кг/м³, толщина не менее 50 мм. Съемный чехол из водоотталкивающей уличной ткани на скрытой застежке-молнии.</w:t>
            </w:r>
          </w:p>
        </w:tc>
        <w:tc>
          <w:tcPr>
            <w:tcW w:w="2509" w:type="dxa"/>
            <w:tcBorders>
              <w:top w:val="single" w:color="auto" w:sz="4" w:space="0"/>
              <w:left w:val="single" w:color="auto" w:sz="4" w:space="0"/>
              <w:bottom w:val="single" w:color="auto" w:sz="4" w:space="0"/>
              <w:right w:val="single" w:color="auto" w:sz="4" w:space="0"/>
            </w:tcBorders>
          </w:tcPr>
          <w:p w14:paraId="4F6889EF">
            <w:pPr>
              <w:rPr>
                <w:lang w:val="ru-RU"/>
              </w:rPr>
            </w:pPr>
          </w:p>
        </w:tc>
      </w:tr>
      <w:tr w14:paraId="6973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741489BC">
            <w:pPr>
              <w:jc w:val="both"/>
              <w:rPr>
                <w:lang w:val="ru-RU"/>
              </w:rPr>
            </w:pPr>
            <w:r>
              <w:rPr>
                <w:rFonts w:eastAsia="SimSun"/>
              </w:rPr>
              <w:t>Состав одного комплекта</w:t>
            </w:r>
          </w:p>
        </w:tc>
        <w:tc>
          <w:tcPr>
            <w:tcW w:w="4920" w:type="dxa"/>
            <w:gridSpan w:val="3"/>
            <w:tcBorders>
              <w:top w:val="single" w:color="auto" w:sz="4" w:space="0"/>
              <w:left w:val="single" w:color="auto" w:sz="4" w:space="0"/>
              <w:bottom w:val="single" w:color="auto" w:sz="4" w:space="0"/>
              <w:right w:val="single" w:color="auto" w:sz="4" w:space="0"/>
            </w:tcBorders>
          </w:tcPr>
          <w:p w14:paraId="52F4EA01">
            <w:pPr>
              <w:pStyle w:val="28"/>
              <w:spacing w:before="0" w:after="0"/>
              <w:jc w:val="both"/>
              <w:rPr>
                <w:szCs w:val="24"/>
                <w:lang w:val="ru-RU"/>
              </w:rPr>
            </w:pPr>
            <w:r>
              <w:rPr>
                <w:rFonts w:eastAsia="SimSun"/>
                <w:szCs w:val="24"/>
                <w:lang w:val="ru-RU"/>
              </w:rPr>
              <w:t>1 (один) обеденный стол с тяжелой столешницей и 4 (четыре) посадочных кресла с деревянными подлокотниками и подушками.</w:t>
            </w:r>
          </w:p>
        </w:tc>
        <w:tc>
          <w:tcPr>
            <w:tcW w:w="2509" w:type="dxa"/>
            <w:tcBorders>
              <w:top w:val="single" w:color="auto" w:sz="4" w:space="0"/>
              <w:left w:val="single" w:color="auto" w:sz="4" w:space="0"/>
              <w:bottom w:val="single" w:color="auto" w:sz="4" w:space="0"/>
              <w:right w:val="single" w:color="auto" w:sz="4" w:space="0"/>
            </w:tcBorders>
          </w:tcPr>
          <w:p w14:paraId="18C21A2F">
            <w:pPr>
              <w:rPr>
                <w:lang w:val="ru-RU"/>
              </w:rPr>
            </w:pPr>
          </w:p>
        </w:tc>
      </w:tr>
      <w:tr w14:paraId="75C1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029908B8">
            <w:pPr>
              <w:rPr>
                <w:lang w:val="ru-RU"/>
              </w:rPr>
            </w:pPr>
            <w:r>
              <w:rPr>
                <w:rFonts w:eastAsia="SimSun"/>
              </w:rPr>
              <w:t>Каркас мебели</w:t>
            </w:r>
          </w:p>
        </w:tc>
        <w:tc>
          <w:tcPr>
            <w:tcW w:w="4920" w:type="dxa"/>
            <w:gridSpan w:val="3"/>
            <w:tcBorders>
              <w:top w:val="single" w:color="auto" w:sz="4" w:space="0"/>
              <w:left w:val="single" w:color="auto" w:sz="4" w:space="0"/>
              <w:bottom w:val="single" w:color="auto" w:sz="4" w:space="0"/>
              <w:right w:val="single" w:color="auto" w:sz="4" w:space="0"/>
            </w:tcBorders>
          </w:tcPr>
          <w:p w14:paraId="43F02780">
            <w:pPr>
              <w:pStyle w:val="28"/>
              <w:spacing w:before="0" w:after="0"/>
              <w:rPr>
                <w:szCs w:val="24"/>
                <w:lang w:val="ru-RU"/>
              </w:rPr>
            </w:pPr>
            <w:r>
              <w:rPr>
                <w:rFonts w:eastAsia="SimSun"/>
                <w:szCs w:val="24"/>
                <w:lang w:val="ru-RU"/>
              </w:rPr>
              <w:t>Сварной алюминиевый профиль (толщина стенки опор 2.0 мм) без использования подверженных коррозии металлов.</w:t>
            </w:r>
          </w:p>
        </w:tc>
        <w:tc>
          <w:tcPr>
            <w:tcW w:w="2509" w:type="dxa"/>
            <w:tcBorders>
              <w:top w:val="single" w:color="auto" w:sz="4" w:space="0"/>
              <w:left w:val="single" w:color="auto" w:sz="4" w:space="0"/>
              <w:bottom w:val="single" w:color="auto" w:sz="4" w:space="0"/>
              <w:right w:val="single" w:color="auto" w:sz="4" w:space="0"/>
            </w:tcBorders>
          </w:tcPr>
          <w:p w14:paraId="6F283D3B">
            <w:pPr>
              <w:rPr>
                <w:lang w:val="ru-RU"/>
              </w:rPr>
            </w:pPr>
          </w:p>
        </w:tc>
      </w:tr>
      <w:tr w14:paraId="0098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2AF62920">
            <w:pPr>
              <w:jc w:val="both"/>
              <w:rPr>
                <w:lang w:val="ru-RU"/>
              </w:rPr>
            </w:pPr>
            <w:r>
              <w:rPr>
                <w:rFonts w:eastAsia="SimSun"/>
              </w:rPr>
              <w:t>Материал отделки (плетение)</w:t>
            </w:r>
          </w:p>
        </w:tc>
        <w:tc>
          <w:tcPr>
            <w:tcW w:w="4920" w:type="dxa"/>
            <w:gridSpan w:val="3"/>
            <w:tcBorders>
              <w:top w:val="single" w:color="auto" w:sz="4" w:space="0"/>
              <w:left w:val="single" w:color="auto" w:sz="4" w:space="0"/>
              <w:bottom w:val="single" w:color="auto" w:sz="4" w:space="0"/>
              <w:right w:val="single" w:color="auto" w:sz="4" w:space="0"/>
            </w:tcBorders>
          </w:tcPr>
          <w:p w14:paraId="40946B72">
            <w:pPr>
              <w:pStyle w:val="28"/>
              <w:spacing w:before="0" w:after="0"/>
              <w:rPr>
                <w:szCs w:val="24"/>
                <w:lang w:val="ru-RU"/>
              </w:rPr>
            </w:pPr>
            <w:r>
              <w:rPr>
                <w:rFonts w:eastAsia="SimSun"/>
                <w:szCs w:val="24"/>
                <w:lang w:val="ru-RU"/>
              </w:rPr>
              <w:t>Высокопрочный всепогодный веревочный шнур, стойкий к выгоранию. Использование дешевого ПВХ-пластика не соответствует стандартам прочности.</w:t>
            </w:r>
          </w:p>
        </w:tc>
        <w:tc>
          <w:tcPr>
            <w:tcW w:w="2509" w:type="dxa"/>
            <w:tcBorders>
              <w:top w:val="single" w:color="auto" w:sz="4" w:space="0"/>
              <w:left w:val="single" w:color="auto" w:sz="4" w:space="0"/>
              <w:bottom w:val="single" w:color="auto" w:sz="4" w:space="0"/>
              <w:right w:val="single" w:color="auto" w:sz="4" w:space="0"/>
            </w:tcBorders>
          </w:tcPr>
          <w:p w14:paraId="18EABE72">
            <w:pPr>
              <w:rPr>
                <w:lang w:val="ru-RU"/>
              </w:rPr>
            </w:pPr>
          </w:p>
        </w:tc>
      </w:tr>
      <w:tr w14:paraId="64D2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03EC33FC">
            <w:pPr>
              <w:jc w:val="both"/>
              <w:rPr>
                <w:lang w:val="ru-RU"/>
              </w:rPr>
            </w:pPr>
            <w:r>
              <w:rPr>
                <w:rFonts w:eastAsia="SimSun"/>
              </w:rPr>
              <w:t>Столешница</w:t>
            </w:r>
          </w:p>
        </w:tc>
        <w:tc>
          <w:tcPr>
            <w:tcW w:w="4920" w:type="dxa"/>
            <w:gridSpan w:val="3"/>
            <w:tcBorders>
              <w:top w:val="single" w:color="auto" w:sz="4" w:space="0"/>
              <w:left w:val="single" w:color="auto" w:sz="4" w:space="0"/>
              <w:bottom w:val="single" w:color="auto" w:sz="4" w:space="0"/>
              <w:right w:val="single" w:color="auto" w:sz="4" w:space="0"/>
            </w:tcBorders>
          </w:tcPr>
          <w:p w14:paraId="1792F017">
            <w:pPr>
              <w:pStyle w:val="28"/>
              <w:spacing w:before="0" w:after="0"/>
              <w:rPr>
                <w:szCs w:val="24"/>
                <w:lang w:val="ru-RU"/>
              </w:rPr>
            </w:pPr>
            <w:r>
              <w:rPr>
                <w:rFonts w:eastAsia="SimSun"/>
                <w:szCs w:val="24"/>
                <w:lang w:val="ru-RU"/>
              </w:rPr>
              <w:t>Влагостойкая, устойчивая к горячей посуде и механическим царапинам тяжелая каменная панель (керамогранит не менее 12 мм).</w:t>
            </w:r>
          </w:p>
        </w:tc>
        <w:tc>
          <w:tcPr>
            <w:tcW w:w="2509" w:type="dxa"/>
            <w:tcBorders>
              <w:top w:val="single" w:color="auto" w:sz="4" w:space="0"/>
              <w:left w:val="single" w:color="auto" w:sz="4" w:space="0"/>
              <w:bottom w:val="single" w:color="auto" w:sz="4" w:space="0"/>
              <w:right w:val="single" w:color="auto" w:sz="4" w:space="0"/>
            </w:tcBorders>
          </w:tcPr>
          <w:p w14:paraId="7B116166">
            <w:pPr>
              <w:rPr>
                <w:lang w:val="ru-RU"/>
              </w:rPr>
            </w:pPr>
          </w:p>
        </w:tc>
      </w:tr>
      <w:tr w14:paraId="21A4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061" w:type="dxa"/>
            <w:tcBorders>
              <w:top w:val="single" w:color="auto" w:sz="4" w:space="0"/>
              <w:left w:val="single" w:color="auto" w:sz="4" w:space="0"/>
              <w:bottom w:val="single" w:color="auto" w:sz="4" w:space="0"/>
              <w:right w:val="single" w:color="auto" w:sz="4" w:space="0"/>
            </w:tcBorders>
          </w:tcPr>
          <w:p w14:paraId="7C54E19C">
            <w:pPr>
              <w:rPr>
                <w:lang w:val="ru-RU"/>
              </w:rPr>
            </w:pPr>
            <w:r>
              <w:rPr>
                <w:rFonts w:eastAsia="SimSun"/>
              </w:rPr>
              <w:t>Мягкие элементы (подушки)</w:t>
            </w:r>
          </w:p>
        </w:tc>
        <w:tc>
          <w:tcPr>
            <w:tcW w:w="4920" w:type="dxa"/>
            <w:gridSpan w:val="3"/>
            <w:tcBorders>
              <w:top w:val="single" w:color="auto" w:sz="4" w:space="0"/>
              <w:left w:val="single" w:color="auto" w:sz="4" w:space="0"/>
              <w:bottom w:val="single" w:color="auto" w:sz="4" w:space="0"/>
              <w:right w:val="single" w:color="auto" w:sz="4" w:space="0"/>
            </w:tcBorders>
          </w:tcPr>
          <w:p w14:paraId="5F6011A9">
            <w:pPr>
              <w:rPr>
                <w:lang w:val="ru-RU"/>
              </w:rPr>
            </w:pPr>
            <w:r>
              <w:rPr>
                <w:rFonts w:eastAsia="SimSun"/>
                <w:lang w:val="ru-RU"/>
              </w:rPr>
              <w:t>Комплектуется подушками для сидений. Наполнитель – дренажная пена, исключающая задержку воды и образование грибка внутри подушки.</w:t>
            </w:r>
          </w:p>
        </w:tc>
        <w:tc>
          <w:tcPr>
            <w:tcW w:w="2509" w:type="dxa"/>
            <w:tcBorders>
              <w:top w:val="single" w:color="auto" w:sz="4" w:space="0"/>
              <w:left w:val="single" w:color="auto" w:sz="4" w:space="0"/>
              <w:bottom w:val="single" w:color="auto" w:sz="4" w:space="0"/>
              <w:right w:val="single" w:color="auto" w:sz="4" w:space="0"/>
            </w:tcBorders>
          </w:tcPr>
          <w:p w14:paraId="03926122">
            <w:pPr>
              <w:rPr>
                <w:lang w:val="ru-RU"/>
              </w:rPr>
            </w:pPr>
          </w:p>
        </w:tc>
      </w:tr>
      <w:tr w14:paraId="3BA59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3061" w:type="dxa"/>
            <w:tcBorders>
              <w:top w:val="single" w:color="auto" w:sz="4" w:space="0"/>
              <w:left w:val="single" w:color="auto" w:sz="4" w:space="0"/>
              <w:bottom w:val="single" w:color="auto" w:sz="4" w:space="0"/>
              <w:right w:val="single" w:color="auto" w:sz="4" w:space="0"/>
            </w:tcBorders>
            <w:vAlign w:val="center"/>
          </w:tcPr>
          <w:p w14:paraId="506DBFEC">
            <w:pPr>
              <w:jc w:val="both"/>
              <w:rPr>
                <w:rFonts w:eastAsia="SimSun"/>
              </w:rPr>
            </w:pPr>
            <w:r>
              <w:t>Гарантийный срок</w:t>
            </w:r>
          </w:p>
        </w:tc>
        <w:tc>
          <w:tcPr>
            <w:tcW w:w="4920" w:type="dxa"/>
            <w:gridSpan w:val="3"/>
            <w:tcBorders>
              <w:top w:val="single" w:color="auto" w:sz="4" w:space="0"/>
              <w:left w:val="single" w:color="auto" w:sz="4" w:space="0"/>
              <w:bottom w:val="single" w:color="auto" w:sz="4" w:space="0"/>
              <w:right w:val="single" w:color="auto" w:sz="4" w:space="0"/>
            </w:tcBorders>
            <w:vAlign w:val="center"/>
          </w:tcPr>
          <w:p w14:paraId="1D68B16E">
            <w:pPr>
              <w:pStyle w:val="28"/>
              <w:spacing w:before="0" w:after="0"/>
              <w:jc w:val="both"/>
              <w:rPr>
                <w:rFonts w:eastAsia="SimSun"/>
                <w:lang w:val="ru-RU"/>
              </w:rPr>
            </w:pPr>
            <w:r>
              <w:rPr>
                <w:szCs w:val="24"/>
                <w:lang w:val="ru-RU"/>
              </w:rPr>
              <w:t xml:space="preserve">Не менее </w:t>
            </w:r>
            <w:r>
              <w:rPr>
                <w:szCs w:val="24"/>
              </w:rPr>
              <w:t xml:space="preserve">12 месяцев </w:t>
            </w:r>
          </w:p>
        </w:tc>
        <w:tc>
          <w:tcPr>
            <w:tcW w:w="2509" w:type="dxa"/>
            <w:tcBorders>
              <w:top w:val="single" w:color="auto" w:sz="4" w:space="0"/>
              <w:left w:val="single" w:color="auto" w:sz="4" w:space="0"/>
              <w:bottom w:val="single" w:color="auto" w:sz="4" w:space="0"/>
              <w:right w:val="single" w:color="auto" w:sz="4" w:space="0"/>
            </w:tcBorders>
          </w:tcPr>
          <w:p w14:paraId="546B83A1">
            <w:pPr>
              <w:rPr>
                <w:lang w:val="ru-RU"/>
              </w:rPr>
            </w:pPr>
          </w:p>
        </w:tc>
      </w:tr>
      <w:tr w14:paraId="026C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90"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5B0FA650">
            <w:pPr>
              <w:jc w:val="center"/>
              <w:rPr>
                <w:b/>
                <w:lang w:val="ru-RU"/>
              </w:rPr>
            </w:pPr>
            <w:r>
              <w:rPr>
                <w:rFonts w:eastAsia="SimSun"/>
                <w:b/>
                <w:bCs/>
              </w:rPr>
              <w:t>Профессиональный газовый мангал</w:t>
            </w:r>
          </w:p>
        </w:tc>
      </w:tr>
      <w:tr w14:paraId="1EB97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490" w:type="dxa"/>
            <w:gridSpan w:val="5"/>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D76B990">
            <w:pPr>
              <w:jc w:val="center"/>
              <w:rPr>
                <w:b/>
                <w:bCs/>
                <w:color w:val="000000"/>
                <w:lang w:val="ru-RU"/>
              </w:rPr>
            </w:pPr>
            <w:r>
              <w:rPr>
                <w:b/>
                <w:lang w:val="ru-RU"/>
              </w:rPr>
              <w:t>Поставка должна предусматривать доставку и отгрузку товаров до места назначения.</w:t>
            </w:r>
          </w:p>
        </w:tc>
      </w:tr>
      <w:tr w14:paraId="3C3D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4D655503">
            <w:pPr>
              <w:jc w:val="both"/>
              <w:rPr>
                <w:lang w:val="ru-RU"/>
              </w:rPr>
            </w:pPr>
            <w:r>
              <w:rPr>
                <w:b/>
                <w:lang w:val="ru-RU"/>
              </w:rPr>
              <w:t>Количество: 1 шт.</w:t>
            </w:r>
          </w:p>
        </w:tc>
        <w:tc>
          <w:tcPr>
            <w:tcW w:w="4920" w:type="dxa"/>
            <w:gridSpan w:val="3"/>
            <w:tcBorders>
              <w:top w:val="single" w:color="auto" w:sz="4" w:space="0"/>
              <w:left w:val="single" w:color="auto" w:sz="4" w:space="0"/>
              <w:bottom w:val="single" w:color="auto" w:sz="4" w:space="0"/>
              <w:right w:val="single" w:color="auto" w:sz="4" w:space="0"/>
            </w:tcBorders>
          </w:tcPr>
          <w:p w14:paraId="437B4382">
            <w:pPr>
              <w:pStyle w:val="28"/>
              <w:spacing w:before="0" w:after="0"/>
              <w:jc w:val="both"/>
              <w:rPr>
                <w:szCs w:val="24"/>
                <w:lang w:val="ru-RU"/>
              </w:rPr>
            </w:pPr>
          </w:p>
        </w:tc>
        <w:tc>
          <w:tcPr>
            <w:tcW w:w="2509" w:type="dxa"/>
            <w:tcBorders>
              <w:top w:val="single" w:color="auto" w:sz="4" w:space="0"/>
              <w:left w:val="single" w:color="auto" w:sz="4" w:space="0"/>
              <w:bottom w:val="single" w:color="auto" w:sz="4" w:space="0"/>
              <w:right w:val="single" w:color="auto" w:sz="4" w:space="0"/>
            </w:tcBorders>
          </w:tcPr>
          <w:p w14:paraId="6AD9AFE2">
            <w:pPr>
              <w:rPr>
                <w:lang w:val="ru-RU"/>
              </w:rPr>
            </w:pPr>
          </w:p>
        </w:tc>
      </w:tr>
      <w:tr w14:paraId="57766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981" w:type="dxa"/>
            <w:gridSpan w:val="4"/>
            <w:tcBorders>
              <w:top w:val="single" w:color="auto" w:sz="4" w:space="0"/>
              <w:left w:val="single" w:color="auto" w:sz="4" w:space="0"/>
              <w:bottom w:val="single" w:color="auto" w:sz="4" w:space="0"/>
              <w:right w:val="single" w:color="auto" w:sz="4" w:space="0"/>
            </w:tcBorders>
          </w:tcPr>
          <w:p w14:paraId="4114BA25">
            <w:pPr>
              <w:pStyle w:val="28"/>
              <w:spacing w:before="0" w:after="0"/>
              <w:jc w:val="both"/>
              <w:rPr>
                <w:szCs w:val="24"/>
                <w:lang w:val="ru-RU"/>
              </w:rPr>
            </w:pPr>
            <w:r>
              <w:rPr>
                <w:b/>
                <w:bCs/>
                <w:snapToGrid w:val="0"/>
                <w:color w:val="000000"/>
              </w:rPr>
              <w:t>ОБЩИЕ СПЕЦИФИКАЦИИ</w:t>
            </w:r>
          </w:p>
        </w:tc>
        <w:tc>
          <w:tcPr>
            <w:tcW w:w="2509" w:type="dxa"/>
            <w:tcBorders>
              <w:top w:val="single" w:color="auto" w:sz="4" w:space="0"/>
              <w:left w:val="single" w:color="auto" w:sz="4" w:space="0"/>
              <w:bottom w:val="single" w:color="auto" w:sz="4" w:space="0"/>
              <w:right w:val="single" w:color="auto" w:sz="4" w:space="0"/>
            </w:tcBorders>
          </w:tcPr>
          <w:p w14:paraId="5335F149">
            <w:pPr>
              <w:rPr>
                <w:lang w:val="ru-RU"/>
              </w:rPr>
            </w:pPr>
          </w:p>
        </w:tc>
      </w:tr>
      <w:tr w14:paraId="42E5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737AC526">
            <w:pPr>
              <w:rPr>
                <w:lang w:val="ru-RU"/>
              </w:rPr>
            </w:pPr>
            <w:r>
              <w:rPr>
                <w:rFonts w:eastAsia="SimSun"/>
              </w:rPr>
              <w:t>Габариты и корпус</w:t>
            </w:r>
          </w:p>
        </w:tc>
        <w:tc>
          <w:tcPr>
            <w:tcW w:w="4920"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14:paraId="47EA3FC9">
            <w:pPr>
              <w:pStyle w:val="28"/>
              <w:spacing w:before="0" w:after="0"/>
              <w:rPr>
                <w:szCs w:val="24"/>
                <w:lang w:val="ru-RU"/>
              </w:rPr>
            </w:pPr>
            <w:r>
              <w:rPr>
                <w:rFonts w:eastAsia="SimSun"/>
                <w:szCs w:val="24"/>
                <w:lang w:val="ru-RU"/>
              </w:rPr>
              <w:t>Размеры: ориентировочно 800х700х900 мм. Тип установки: напольный тепловой модуль, интегрированный с закрытой нижней базой (стенд-шкаф с распашными дверцами для инвентаря/баллона). Корпус: строго пищевая аустенитная нержавеющая сталь (массовая доля хрома не менее 18%, никеля не менее 8%). Толщина листовой стали не менее 1.0–1.2 мм. Полностью сварная конструкция жарочной камеры.</w:t>
            </w:r>
          </w:p>
        </w:tc>
        <w:tc>
          <w:tcPr>
            <w:tcW w:w="2509" w:type="dxa"/>
            <w:tcBorders>
              <w:top w:val="single" w:color="auto" w:sz="4" w:space="0"/>
              <w:left w:val="single" w:color="auto" w:sz="4" w:space="0"/>
              <w:bottom w:val="single" w:color="auto" w:sz="4" w:space="0"/>
              <w:right w:val="single" w:color="auto" w:sz="4" w:space="0"/>
            </w:tcBorders>
          </w:tcPr>
          <w:p w14:paraId="009DDAF7">
            <w:pPr>
              <w:rPr>
                <w:lang w:val="ru-RU"/>
              </w:rPr>
            </w:pPr>
          </w:p>
        </w:tc>
      </w:tr>
      <w:tr w14:paraId="2BC83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06EEA1ED">
            <w:pPr>
              <w:rPr>
                <w:rFonts w:eastAsia="SimSun"/>
              </w:rPr>
            </w:pPr>
            <w:r>
              <w:rPr>
                <w:rFonts w:eastAsia="SimSun"/>
              </w:rPr>
              <w:t>Жарочная зона</w:t>
            </w:r>
          </w:p>
        </w:tc>
        <w:tc>
          <w:tcPr>
            <w:tcW w:w="4920"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14:paraId="0BC6AFEE">
            <w:pPr>
              <w:pStyle w:val="28"/>
              <w:spacing w:before="0" w:after="0"/>
              <w:rPr>
                <w:rFonts w:eastAsia="SimSun"/>
                <w:szCs w:val="24"/>
                <w:lang w:val="ru-RU"/>
              </w:rPr>
            </w:pPr>
            <w:r>
              <w:rPr>
                <w:rFonts w:eastAsia="SimSun"/>
                <w:szCs w:val="24"/>
                <w:lang w:val="ru-RU"/>
              </w:rPr>
              <w:t xml:space="preserve">Две независимые тяжелые литые чугунные решетки. Профиль решеток: строго </w:t>
            </w:r>
            <w:r>
              <w:rPr>
                <w:rFonts w:eastAsia="SimSun"/>
                <w:szCs w:val="24"/>
              </w:rPr>
              <w:t>V</w:t>
            </w:r>
            <w:r>
              <w:rPr>
                <w:rFonts w:eastAsia="SimSun"/>
                <w:szCs w:val="24"/>
                <w:lang w:val="ru-RU"/>
              </w:rPr>
              <w:t>-образный (канальный тип) для безопасного отвода вытапливаемого жира в лоток и минимизации вспышек открытого пламени.</w:t>
            </w:r>
          </w:p>
        </w:tc>
        <w:tc>
          <w:tcPr>
            <w:tcW w:w="2509" w:type="dxa"/>
            <w:tcBorders>
              <w:top w:val="single" w:color="auto" w:sz="4" w:space="0"/>
              <w:left w:val="single" w:color="auto" w:sz="4" w:space="0"/>
              <w:bottom w:val="single" w:color="auto" w:sz="4" w:space="0"/>
              <w:right w:val="single" w:color="auto" w:sz="4" w:space="0"/>
            </w:tcBorders>
          </w:tcPr>
          <w:p w14:paraId="60580517">
            <w:pPr>
              <w:rPr>
                <w:lang w:val="ru-RU"/>
              </w:rPr>
            </w:pPr>
          </w:p>
        </w:tc>
      </w:tr>
      <w:tr w14:paraId="6A4A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3ACF2DE6">
            <w:pPr>
              <w:rPr>
                <w:rFonts w:eastAsia="SimSun"/>
              </w:rPr>
            </w:pPr>
            <w:r>
              <w:rPr>
                <w:rFonts w:eastAsia="SimSun"/>
              </w:rPr>
              <w:t>Управление и защита</w:t>
            </w:r>
          </w:p>
        </w:tc>
        <w:tc>
          <w:tcPr>
            <w:tcW w:w="4920"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14:paraId="3920B6D5">
            <w:pPr>
              <w:pStyle w:val="28"/>
              <w:spacing w:before="0" w:after="0"/>
              <w:rPr>
                <w:rFonts w:eastAsia="SimSun"/>
                <w:szCs w:val="24"/>
                <w:lang w:val="ru-RU"/>
              </w:rPr>
            </w:pPr>
            <w:r>
              <w:rPr>
                <w:rFonts w:eastAsia="SimSun"/>
                <w:szCs w:val="24"/>
                <w:lang w:val="ru-RU"/>
              </w:rPr>
              <w:t xml:space="preserve">Теплоноситель: пористые камни вулканической породы. Камни укладываются над горелками для аккумуляции тепла, защиты газовых горелок от жира и генерации дыма для ароматизации продукта. </w:t>
            </w:r>
            <w:r>
              <w:rPr>
                <w:rFonts w:eastAsia="SimSun"/>
                <w:szCs w:val="24"/>
              </w:rPr>
              <w:t>Суммарная тепловая мощность горелок: не менее 16.8 кВт.</w:t>
            </w:r>
          </w:p>
        </w:tc>
        <w:tc>
          <w:tcPr>
            <w:tcW w:w="2509" w:type="dxa"/>
            <w:tcBorders>
              <w:top w:val="single" w:color="auto" w:sz="4" w:space="0"/>
              <w:left w:val="single" w:color="auto" w:sz="4" w:space="0"/>
              <w:bottom w:val="single" w:color="auto" w:sz="4" w:space="0"/>
              <w:right w:val="single" w:color="auto" w:sz="4" w:space="0"/>
            </w:tcBorders>
          </w:tcPr>
          <w:p w14:paraId="3712E0E5">
            <w:pPr>
              <w:rPr>
                <w:lang w:val="ru-RU"/>
              </w:rPr>
            </w:pPr>
          </w:p>
        </w:tc>
      </w:tr>
      <w:tr w14:paraId="1C63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49AA793B">
            <w:pPr>
              <w:rPr>
                <w:rFonts w:eastAsia="SimSun"/>
              </w:rPr>
            </w:pPr>
            <w:r>
              <w:rPr>
                <w:rFonts w:eastAsia="SimSun"/>
              </w:rPr>
              <w:t>Нагрев</w:t>
            </w:r>
          </w:p>
        </w:tc>
        <w:tc>
          <w:tcPr>
            <w:tcW w:w="4920"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14:paraId="2BF9B569">
            <w:pPr>
              <w:pStyle w:val="28"/>
              <w:spacing w:before="0" w:after="0"/>
              <w:rPr>
                <w:rFonts w:eastAsia="SimSun"/>
                <w:szCs w:val="24"/>
                <w:lang w:val="ru-RU"/>
              </w:rPr>
            </w:pPr>
            <w:r>
              <w:rPr>
                <w:rFonts w:eastAsia="SimSun"/>
                <w:szCs w:val="24"/>
                <w:lang w:val="ru-RU"/>
              </w:rPr>
              <w:t xml:space="preserve">Совместимость с типами газа: Природный газ (расход не более 2.35 м³/ч) или сжиженный газ в баллонах (расход не более 1.75 кг/ч). </w:t>
            </w:r>
            <w:r>
              <w:rPr>
                <w:rFonts w:eastAsia="SimSun"/>
                <w:szCs w:val="24"/>
              </w:rPr>
              <w:t>Трубчатые газовые горелки выполнены из нержавеющей стали.</w:t>
            </w:r>
          </w:p>
        </w:tc>
        <w:tc>
          <w:tcPr>
            <w:tcW w:w="2509" w:type="dxa"/>
            <w:tcBorders>
              <w:top w:val="single" w:color="auto" w:sz="4" w:space="0"/>
              <w:left w:val="single" w:color="auto" w:sz="4" w:space="0"/>
              <w:bottom w:val="single" w:color="auto" w:sz="4" w:space="0"/>
              <w:right w:val="single" w:color="auto" w:sz="4" w:space="0"/>
            </w:tcBorders>
          </w:tcPr>
          <w:p w14:paraId="25B142FB">
            <w:pPr>
              <w:rPr>
                <w:lang w:val="ru-RU"/>
              </w:rPr>
            </w:pPr>
          </w:p>
        </w:tc>
      </w:tr>
      <w:tr w14:paraId="170A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29DD73EE">
            <w:pPr>
              <w:rPr>
                <w:rFonts w:eastAsia="SimSun"/>
              </w:rPr>
            </w:pPr>
            <w:r>
              <w:rPr>
                <w:rFonts w:eastAsia="SimSun"/>
              </w:rPr>
              <w:t>Расход газа</w:t>
            </w:r>
          </w:p>
        </w:tc>
        <w:tc>
          <w:tcPr>
            <w:tcW w:w="4920"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14:paraId="2FB52862">
            <w:pPr>
              <w:pStyle w:val="28"/>
              <w:spacing w:before="0" w:after="0"/>
              <w:rPr>
                <w:rFonts w:eastAsia="SimSun"/>
                <w:szCs w:val="24"/>
              </w:rPr>
            </w:pPr>
            <w:r>
              <w:rPr>
                <w:rFonts w:eastAsia="SimSun"/>
                <w:szCs w:val="24"/>
                <w:lang w:val="ru-RU"/>
              </w:rPr>
              <w:t xml:space="preserve">Пьезоэлектрический или автоматический электронный розжиг. Встроенный съемный лоток-жиросборник из нержавеющей аустенитной стали. </w:t>
            </w:r>
            <w:r>
              <w:rPr>
                <w:rFonts w:eastAsia="SimSun"/>
                <w:szCs w:val="24"/>
              </w:rPr>
              <w:t>Электромеханическая система контроля пламени (термопара) на каждую горелку.</w:t>
            </w:r>
          </w:p>
        </w:tc>
        <w:tc>
          <w:tcPr>
            <w:tcW w:w="2509" w:type="dxa"/>
            <w:tcBorders>
              <w:top w:val="single" w:color="auto" w:sz="4" w:space="0"/>
              <w:left w:val="single" w:color="auto" w:sz="4" w:space="0"/>
              <w:bottom w:val="single" w:color="auto" w:sz="4" w:space="0"/>
              <w:right w:val="single" w:color="auto" w:sz="4" w:space="0"/>
            </w:tcBorders>
          </w:tcPr>
          <w:p w14:paraId="53DB16E9">
            <w:pPr>
              <w:rPr>
                <w:lang w:val="ru-RU"/>
              </w:rPr>
            </w:pPr>
          </w:p>
        </w:tc>
      </w:tr>
      <w:tr w14:paraId="10F12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tcPr>
          <w:p w14:paraId="1318DD9E">
            <w:pPr>
              <w:rPr>
                <w:lang w:val="ru-RU"/>
              </w:rPr>
            </w:pPr>
            <w:r>
              <w:rPr>
                <w:rFonts w:eastAsia="SimSun"/>
              </w:rPr>
              <w:t>Тип установки</w:t>
            </w:r>
          </w:p>
        </w:tc>
        <w:tc>
          <w:tcPr>
            <w:tcW w:w="4920"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14:paraId="3BFAB99C">
            <w:pPr>
              <w:pStyle w:val="28"/>
              <w:spacing w:before="0" w:after="0"/>
              <w:rPr>
                <w:szCs w:val="24"/>
                <w:lang w:val="ru-RU"/>
              </w:rPr>
            </w:pPr>
            <w:r>
              <w:rPr>
                <w:rFonts w:eastAsia="SimSun"/>
                <w:szCs w:val="24"/>
                <w:lang w:val="ru-RU"/>
              </w:rPr>
              <w:t>Напольный отдельно стоящий модуль с закрытым шкафом для хранения инвентаря.</w:t>
            </w:r>
          </w:p>
        </w:tc>
        <w:tc>
          <w:tcPr>
            <w:tcW w:w="2509" w:type="dxa"/>
            <w:tcBorders>
              <w:top w:val="single" w:color="auto" w:sz="4" w:space="0"/>
              <w:left w:val="single" w:color="auto" w:sz="4" w:space="0"/>
              <w:bottom w:val="single" w:color="auto" w:sz="4" w:space="0"/>
              <w:right w:val="single" w:color="auto" w:sz="4" w:space="0"/>
            </w:tcBorders>
          </w:tcPr>
          <w:p w14:paraId="1CAF6CE4">
            <w:pPr>
              <w:rPr>
                <w:lang w:val="ru-RU"/>
              </w:rPr>
            </w:pPr>
          </w:p>
        </w:tc>
      </w:tr>
      <w:tr w14:paraId="69B9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shd w:val="clear" w:color="auto" w:fill="FFFFFF" w:themeFill="background1"/>
          </w:tcPr>
          <w:p w14:paraId="0F03578F">
            <w:pPr>
              <w:jc w:val="both"/>
              <w:rPr>
                <w:lang w:val="ru-RU"/>
              </w:rPr>
            </w:pPr>
            <w:r>
              <w:rPr>
                <w:rFonts w:eastAsia="SimSun"/>
              </w:rPr>
              <w:t>Материал корпуса</w:t>
            </w:r>
          </w:p>
        </w:tc>
        <w:tc>
          <w:tcPr>
            <w:tcW w:w="4920"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14:paraId="0E42CA11">
            <w:pPr>
              <w:pStyle w:val="28"/>
              <w:spacing w:before="0" w:after="0"/>
              <w:rPr>
                <w:szCs w:val="24"/>
                <w:lang w:val="ru-RU"/>
              </w:rPr>
            </w:pPr>
            <w:r>
              <w:rPr>
                <w:rFonts w:eastAsia="SimSun"/>
                <w:szCs w:val="24"/>
                <w:lang w:val="ru-RU"/>
              </w:rPr>
              <w:t xml:space="preserve">Аустенитная пищевая нержавеющая сталь с обязательным содержанием никеля (защита от точечной коррозии в агрессивной среде горячих маринадов, кислот и солей). </w:t>
            </w:r>
            <w:r>
              <w:rPr>
                <w:rFonts w:eastAsia="SimSun"/>
                <w:szCs w:val="24"/>
              </w:rPr>
              <w:t>Применение дешевых ферритных (безникелевых) сталей не допускается техническими условиями.</w:t>
            </w:r>
          </w:p>
        </w:tc>
        <w:tc>
          <w:tcPr>
            <w:tcW w:w="2509" w:type="dxa"/>
            <w:tcBorders>
              <w:top w:val="single" w:color="auto" w:sz="4" w:space="0"/>
              <w:left w:val="single" w:color="auto" w:sz="4" w:space="0"/>
              <w:bottom w:val="single" w:color="auto" w:sz="4" w:space="0"/>
              <w:right w:val="single" w:color="auto" w:sz="4" w:space="0"/>
            </w:tcBorders>
          </w:tcPr>
          <w:p w14:paraId="334E9BBC">
            <w:pPr>
              <w:rPr>
                <w:lang w:val="ru-RU"/>
              </w:rPr>
            </w:pPr>
          </w:p>
        </w:tc>
      </w:tr>
      <w:tr w14:paraId="0AD1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shd w:val="clear" w:color="auto" w:fill="FFFFFF" w:themeFill="background1"/>
          </w:tcPr>
          <w:p w14:paraId="02C816A3">
            <w:pPr>
              <w:jc w:val="both"/>
              <w:rPr>
                <w:lang w:val="ru-RU"/>
              </w:rPr>
            </w:pPr>
            <w:r>
              <w:rPr>
                <w:rFonts w:eastAsia="SimSun"/>
              </w:rPr>
              <w:t>Жарочная поверхность</w:t>
            </w:r>
          </w:p>
        </w:tc>
        <w:tc>
          <w:tcPr>
            <w:tcW w:w="4920"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14:paraId="51191BD8">
            <w:pPr>
              <w:pStyle w:val="28"/>
              <w:spacing w:before="0" w:after="0"/>
              <w:jc w:val="both"/>
              <w:rPr>
                <w:szCs w:val="24"/>
                <w:lang w:val="ru-RU"/>
              </w:rPr>
            </w:pPr>
            <w:r>
              <w:rPr>
                <w:rFonts w:eastAsia="SimSun"/>
                <w:szCs w:val="24"/>
                <w:lang w:val="ru-RU"/>
              </w:rPr>
              <w:t>Чугунные решетки канального (</w:t>
            </w:r>
            <w:r>
              <w:rPr>
                <w:rFonts w:eastAsia="SimSun"/>
                <w:szCs w:val="24"/>
              </w:rPr>
              <w:t>V</w:t>
            </w:r>
            <w:r>
              <w:rPr>
                <w:rFonts w:eastAsia="SimSun"/>
                <w:szCs w:val="24"/>
                <w:lang w:val="ru-RU"/>
              </w:rPr>
              <w:t>-образного) профиля для стока жира в резервуар.</w:t>
            </w:r>
          </w:p>
        </w:tc>
        <w:tc>
          <w:tcPr>
            <w:tcW w:w="2509" w:type="dxa"/>
            <w:tcBorders>
              <w:top w:val="single" w:color="auto" w:sz="4" w:space="0"/>
              <w:left w:val="single" w:color="auto" w:sz="4" w:space="0"/>
              <w:bottom w:val="single" w:color="auto" w:sz="4" w:space="0"/>
              <w:right w:val="single" w:color="auto" w:sz="4" w:space="0"/>
            </w:tcBorders>
          </w:tcPr>
          <w:p w14:paraId="4B4E02E4">
            <w:pPr>
              <w:rPr>
                <w:lang w:val="ru-RU"/>
              </w:rPr>
            </w:pPr>
          </w:p>
        </w:tc>
      </w:tr>
      <w:tr w14:paraId="2BF9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shd w:val="clear" w:color="auto" w:fill="FFFFFF" w:themeFill="background1"/>
          </w:tcPr>
          <w:p w14:paraId="29A6ADA7">
            <w:pPr>
              <w:jc w:val="both"/>
              <w:rPr>
                <w:rFonts w:eastAsia="SimSun"/>
              </w:rPr>
            </w:pPr>
            <w:r>
              <w:rPr>
                <w:rFonts w:eastAsia="SimSun"/>
              </w:rPr>
              <w:t>Принцип нагрева</w:t>
            </w:r>
          </w:p>
        </w:tc>
        <w:tc>
          <w:tcPr>
            <w:tcW w:w="4920"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14:paraId="7A60989C">
            <w:pPr>
              <w:pStyle w:val="28"/>
              <w:spacing w:before="0" w:after="0"/>
              <w:jc w:val="both"/>
              <w:rPr>
                <w:szCs w:val="24"/>
                <w:lang w:val="ru-RU"/>
              </w:rPr>
            </w:pPr>
            <w:r>
              <w:rPr>
                <w:rFonts w:eastAsia="SimSun"/>
                <w:szCs w:val="24"/>
                <w:lang w:val="ru-RU"/>
              </w:rPr>
              <w:t>Использование натурального камня вулканической породы для создания плотного инфракрасного излучения и исключения «холодных зон» на жарочной решетке.</w:t>
            </w:r>
          </w:p>
        </w:tc>
        <w:tc>
          <w:tcPr>
            <w:tcW w:w="2509" w:type="dxa"/>
            <w:tcBorders>
              <w:top w:val="single" w:color="auto" w:sz="4" w:space="0"/>
              <w:left w:val="single" w:color="auto" w:sz="4" w:space="0"/>
              <w:bottom w:val="single" w:color="auto" w:sz="4" w:space="0"/>
              <w:right w:val="single" w:color="auto" w:sz="4" w:space="0"/>
            </w:tcBorders>
          </w:tcPr>
          <w:p w14:paraId="66CB9AAC">
            <w:pPr>
              <w:rPr>
                <w:lang w:val="ru-RU"/>
              </w:rPr>
            </w:pPr>
          </w:p>
        </w:tc>
      </w:tr>
      <w:tr w14:paraId="24941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shd w:val="clear" w:color="auto" w:fill="FFFFFF" w:themeFill="background1"/>
          </w:tcPr>
          <w:p w14:paraId="2149C1FF">
            <w:pPr>
              <w:jc w:val="both"/>
              <w:rPr>
                <w:rFonts w:eastAsia="SimSun"/>
              </w:rPr>
            </w:pPr>
            <w:r>
              <w:rPr>
                <w:rFonts w:eastAsia="SimSun"/>
              </w:rPr>
              <w:t>Управление</w:t>
            </w:r>
          </w:p>
        </w:tc>
        <w:tc>
          <w:tcPr>
            <w:tcW w:w="4920"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14:paraId="25A426BC">
            <w:pPr>
              <w:pStyle w:val="28"/>
              <w:spacing w:before="0" w:after="0"/>
              <w:jc w:val="both"/>
              <w:rPr>
                <w:szCs w:val="24"/>
                <w:lang w:val="ru-RU"/>
              </w:rPr>
            </w:pPr>
            <w:r>
              <w:rPr>
                <w:rFonts w:eastAsia="SimSun"/>
                <w:szCs w:val="24"/>
                <w:lang w:val="ru-RU"/>
              </w:rPr>
              <w:t>Не менее 2 независимых зон нагрева, оснащенных индивидуальными терморегуляторами промышленного класса.</w:t>
            </w:r>
          </w:p>
        </w:tc>
        <w:tc>
          <w:tcPr>
            <w:tcW w:w="2509" w:type="dxa"/>
            <w:tcBorders>
              <w:top w:val="single" w:color="auto" w:sz="4" w:space="0"/>
              <w:left w:val="single" w:color="auto" w:sz="4" w:space="0"/>
              <w:bottom w:val="single" w:color="auto" w:sz="4" w:space="0"/>
              <w:right w:val="single" w:color="auto" w:sz="4" w:space="0"/>
            </w:tcBorders>
          </w:tcPr>
          <w:p w14:paraId="256EBEA2">
            <w:pPr>
              <w:rPr>
                <w:lang w:val="ru-RU"/>
              </w:rPr>
            </w:pPr>
          </w:p>
        </w:tc>
      </w:tr>
      <w:tr w14:paraId="50E5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shd w:val="clear" w:color="auto" w:fill="FFFFFF" w:themeFill="background1"/>
          </w:tcPr>
          <w:p w14:paraId="60A33CBB">
            <w:pPr>
              <w:jc w:val="both"/>
              <w:rPr>
                <w:rFonts w:eastAsia="SimSun"/>
              </w:rPr>
            </w:pPr>
            <w:r>
              <w:rPr>
                <w:rFonts w:eastAsia="SimSun"/>
              </w:rPr>
              <w:t>Системы безопасности</w:t>
            </w:r>
          </w:p>
        </w:tc>
        <w:tc>
          <w:tcPr>
            <w:tcW w:w="4920"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14:paraId="715DCE16">
            <w:pPr>
              <w:pStyle w:val="28"/>
              <w:spacing w:before="0" w:after="0"/>
              <w:jc w:val="both"/>
              <w:rPr>
                <w:szCs w:val="24"/>
                <w:lang w:val="ru-RU"/>
              </w:rPr>
            </w:pPr>
            <w:r>
              <w:rPr>
                <w:rFonts w:eastAsia="SimSun"/>
                <w:szCs w:val="24"/>
                <w:lang w:val="ru-RU"/>
              </w:rPr>
              <w:t>Наличие электромагнитной системы газ-контроля, обеспечивающей мгновенное перекрытие подачи газа в случае затухания пламени.</w:t>
            </w:r>
          </w:p>
        </w:tc>
        <w:tc>
          <w:tcPr>
            <w:tcW w:w="2509" w:type="dxa"/>
            <w:tcBorders>
              <w:top w:val="single" w:color="auto" w:sz="4" w:space="0"/>
              <w:left w:val="single" w:color="auto" w:sz="4" w:space="0"/>
              <w:bottom w:val="single" w:color="auto" w:sz="4" w:space="0"/>
              <w:right w:val="single" w:color="auto" w:sz="4" w:space="0"/>
            </w:tcBorders>
          </w:tcPr>
          <w:p w14:paraId="36B8215F">
            <w:pPr>
              <w:rPr>
                <w:lang w:val="ru-RU"/>
              </w:rPr>
            </w:pPr>
          </w:p>
        </w:tc>
      </w:tr>
      <w:tr w14:paraId="128A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06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DEDC355">
            <w:pPr>
              <w:jc w:val="both"/>
              <w:rPr>
                <w:rFonts w:eastAsia="SimSun"/>
              </w:rPr>
            </w:pPr>
            <w:r>
              <w:t>Гарантийный срок</w:t>
            </w:r>
          </w:p>
        </w:tc>
        <w:tc>
          <w:tcPr>
            <w:tcW w:w="4920" w:type="dxa"/>
            <w:gridSpan w:val="3"/>
            <w:tcBorders>
              <w:top w:val="single" w:color="auto" w:sz="4" w:space="0"/>
              <w:left w:val="single" w:color="auto" w:sz="4" w:space="0"/>
              <w:bottom w:val="single" w:color="auto" w:sz="4" w:space="0"/>
              <w:right w:val="single" w:color="auto" w:sz="4" w:space="0"/>
            </w:tcBorders>
            <w:vAlign w:val="center"/>
          </w:tcPr>
          <w:p w14:paraId="256B8459">
            <w:pPr>
              <w:pStyle w:val="28"/>
              <w:spacing w:before="0" w:after="0"/>
              <w:jc w:val="both"/>
              <w:rPr>
                <w:rFonts w:eastAsia="SimSun"/>
                <w:lang w:val="ru-RU"/>
              </w:rPr>
            </w:pPr>
            <w:r>
              <w:rPr>
                <w:szCs w:val="24"/>
                <w:lang w:val="ru-RU"/>
              </w:rPr>
              <w:t xml:space="preserve">Не менее </w:t>
            </w:r>
            <w:r>
              <w:rPr>
                <w:szCs w:val="24"/>
              </w:rPr>
              <w:t xml:space="preserve">12 месяцев </w:t>
            </w:r>
          </w:p>
        </w:tc>
        <w:tc>
          <w:tcPr>
            <w:tcW w:w="2509" w:type="dxa"/>
            <w:tcBorders>
              <w:top w:val="single" w:color="auto" w:sz="4" w:space="0"/>
              <w:left w:val="single" w:color="auto" w:sz="4" w:space="0"/>
              <w:bottom w:val="single" w:color="auto" w:sz="4" w:space="0"/>
              <w:right w:val="single" w:color="auto" w:sz="4" w:space="0"/>
            </w:tcBorders>
          </w:tcPr>
          <w:p w14:paraId="28C11689">
            <w:pPr>
              <w:rPr>
                <w:lang w:val="ru-RU"/>
              </w:rPr>
            </w:pPr>
          </w:p>
        </w:tc>
      </w:tr>
    </w:tbl>
    <w:p w14:paraId="35400D63">
      <w:pPr>
        <w:pStyle w:val="38"/>
        <w:numPr>
          <w:ilvl w:val="0"/>
          <w:numId w:val="13"/>
        </w:numPr>
        <w:shd w:val="clear" w:color="auto" w:fill="FFFFFF"/>
        <w:spacing w:after="240" w:line="276" w:lineRule="auto"/>
        <w:contextualSpacing/>
        <w:rPr>
          <w:rFonts w:eastAsia="Calibri"/>
          <w:b/>
          <w:lang w:val="ru-RU" w:eastAsia="ru-RU"/>
        </w:rPr>
      </w:pPr>
      <w:r>
        <w:rPr>
          <w:bCs/>
          <w:u w:val="single"/>
          <w:lang w:val="ru-RU"/>
        </w:rPr>
        <w:t>Невыполнение обязательств</w:t>
      </w:r>
      <w:r>
        <w:rPr>
          <w:bCs/>
          <w:lang w:val="ru-RU"/>
        </w:rPr>
        <w:t>: Покупатель может отменить заказ на поставку товаров, если поставщик не поставил товары согласно вышеуказанным условиям и срокам, после письменного уведомления Покупателем в течение 21 дней без всяких обязательств перед Поставщиком.</w:t>
      </w:r>
    </w:p>
    <w:p w14:paraId="5FF32752">
      <w:pPr>
        <w:pStyle w:val="38"/>
        <w:shd w:val="clear" w:color="auto" w:fill="FFFFFF"/>
        <w:spacing w:after="240" w:line="276" w:lineRule="auto"/>
        <w:contextualSpacing/>
        <w:rPr>
          <w:rFonts w:eastAsia="Calibri"/>
          <w:b/>
          <w:lang w:val="ru-RU" w:eastAsia="ru-RU"/>
        </w:rPr>
      </w:pPr>
      <w:r>
        <w:rPr>
          <w:b/>
          <w:bCs/>
          <w:lang w:val="ru-RU"/>
        </w:rPr>
        <w:t>Поставщик должен предоставить следующий перечень документов вместе с заявкой для подтверждения квалификации:</w:t>
      </w:r>
      <w:r>
        <w:rPr>
          <w:bCs/>
          <w:lang w:val="ru-RU"/>
        </w:rPr>
        <w:br w:type="textWrapping"/>
      </w:r>
    </w:p>
    <w:p w14:paraId="0E384B8F">
      <w:pPr>
        <w:jc w:val="both"/>
        <w:rPr>
          <w:bCs/>
          <w:lang w:val="ru-RU"/>
        </w:rPr>
      </w:pPr>
    </w:p>
    <w:tbl>
      <w:tblPr>
        <w:tblStyle w:val="8"/>
        <w:tblW w:w="10065" w:type="dxa"/>
        <w:tblInd w:w="0" w:type="dxa"/>
        <w:tblLayout w:type="fixed"/>
        <w:tblCellMar>
          <w:top w:w="0" w:type="dxa"/>
          <w:left w:w="108" w:type="dxa"/>
          <w:bottom w:w="0" w:type="dxa"/>
          <w:right w:w="108" w:type="dxa"/>
        </w:tblCellMar>
      </w:tblPr>
      <w:tblGrid>
        <w:gridCol w:w="3126"/>
        <w:gridCol w:w="6939"/>
      </w:tblGrid>
      <w:tr w14:paraId="3E8D7F61">
        <w:tblPrEx>
          <w:tblCellMar>
            <w:top w:w="0" w:type="dxa"/>
            <w:left w:w="108" w:type="dxa"/>
            <w:bottom w:w="0" w:type="dxa"/>
            <w:right w:w="108" w:type="dxa"/>
          </w:tblCellMar>
        </w:tblPrEx>
        <w:tc>
          <w:tcPr>
            <w:tcW w:w="3126" w:type="dxa"/>
          </w:tcPr>
          <w:p w14:paraId="20B76D77">
            <w:pPr>
              <w:jc w:val="both"/>
              <w:rPr>
                <w:lang w:val="ru-RU"/>
              </w:rPr>
            </w:pPr>
            <w:r>
              <w:rPr>
                <w:lang w:val="ru-RU"/>
              </w:rPr>
              <w:t>ПЕЧАТЬ ПРЕДПРИЯТИЯ</w:t>
            </w:r>
          </w:p>
        </w:tc>
        <w:tc>
          <w:tcPr>
            <w:tcW w:w="6939" w:type="dxa"/>
          </w:tcPr>
          <w:p w14:paraId="37EF30C5">
            <w:pPr>
              <w:jc w:val="both"/>
              <w:rPr>
                <w:bCs/>
                <w:lang w:val="ru-RU"/>
              </w:rPr>
            </w:pPr>
            <w:r>
              <w:rPr>
                <w:bCs/>
                <w:lang w:val="ru-RU"/>
              </w:rPr>
              <w:t>Наименование поставщика ____________________________</w:t>
            </w:r>
          </w:p>
          <w:p w14:paraId="6E2EB46E">
            <w:pPr>
              <w:jc w:val="both"/>
              <w:rPr>
                <w:lang w:val="ru-RU"/>
              </w:rPr>
            </w:pPr>
          </w:p>
          <w:p w14:paraId="10CCC903">
            <w:pPr>
              <w:jc w:val="both"/>
              <w:rPr>
                <w:lang w:val="ru-RU"/>
              </w:rPr>
            </w:pPr>
            <w:r>
              <w:rPr>
                <w:lang w:val="ru-RU"/>
              </w:rPr>
              <w:t>Подпись</w:t>
            </w:r>
            <w:r>
              <w:rPr>
                <w:bCs/>
                <w:lang w:val="ru-RU"/>
              </w:rPr>
              <w:t xml:space="preserve"> уполномоченного лица </w:t>
            </w:r>
            <w:r>
              <w:rPr>
                <w:lang w:val="ru-RU"/>
              </w:rPr>
              <w:t xml:space="preserve">                       </w:t>
            </w:r>
          </w:p>
          <w:p w14:paraId="1B48450B">
            <w:pPr>
              <w:jc w:val="both"/>
              <w:rPr>
                <w:lang w:val="ru-RU"/>
              </w:rPr>
            </w:pPr>
            <w:r>
              <w:rPr>
                <w:lang w:val="ru-RU"/>
              </w:rPr>
              <w:t xml:space="preserve">Дата: </w:t>
            </w:r>
          </w:p>
        </w:tc>
      </w:tr>
      <w:tr w14:paraId="1005408A">
        <w:tblPrEx>
          <w:tblCellMar>
            <w:top w:w="0" w:type="dxa"/>
            <w:left w:w="108" w:type="dxa"/>
            <w:bottom w:w="0" w:type="dxa"/>
            <w:right w:w="108" w:type="dxa"/>
          </w:tblCellMar>
        </w:tblPrEx>
        <w:tc>
          <w:tcPr>
            <w:tcW w:w="3126" w:type="dxa"/>
          </w:tcPr>
          <w:p w14:paraId="555C718C">
            <w:pPr>
              <w:jc w:val="both"/>
              <w:rPr>
                <w:lang w:val="ru-RU"/>
              </w:rPr>
            </w:pPr>
          </w:p>
        </w:tc>
        <w:tc>
          <w:tcPr>
            <w:tcW w:w="6939" w:type="dxa"/>
          </w:tcPr>
          <w:p w14:paraId="567CE25F">
            <w:pPr>
              <w:jc w:val="both"/>
              <w:rPr>
                <w:bCs/>
                <w:lang w:val="ru-RU"/>
              </w:rPr>
            </w:pPr>
          </w:p>
        </w:tc>
      </w:tr>
    </w:tbl>
    <w:p w14:paraId="3489A26F">
      <w:pPr>
        <w:pStyle w:val="30"/>
        <w:jc w:val="right"/>
        <w:rPr>
          <w:b/>
          <w:bCs/>
          <w:i/>
          <w:iCs/>
          <w:szCs w:val="24"/>
          <w:lang w:val="ru-RU"/>
        </w:rPr>
      </w:pPr>
    </w:p>
    <w:p w14:paraId="1F294DEC">
      <w:pPr>
        <w:pStyle w:val="30"/>
        <w:jc w:val="right"/>
        <w:rPr>
          <w:b/>
          <w:bCs/>
          <w:i/>
          <w:iCs/>
          <w:szCs w:val="24"/>
          <w:lang w:val="ru-RU"/>
        </w:rPr>
      </w:pPr>
    </w:p>
    <w:p w14:paraId="015C024B">
      <w:pPr>
        <w:pStyle w:val="30"/>
        <w:jc w:val="right"/>
        <w:rPr>
          <w:b/>
          <w:bCs/>
          <w:i/>
          <w:iCs/>
          <w:szCs w:val="24"/>
          <w:lang w:val="ru-RU"/>
        </w:rPr>
      </w:pPr>
    </w:p>
    <w:p w14:paraId="41D0B12A">
      <w:pPr>
        <w:pStyle w:val="30"/>
        <w:jc w:val="right"/>
        <w:rPr>
          <w:b/>
          <w:bCs/>
          <w:i/>
          <w:iCs/>
          <w:szCs w:val="24"/>
          <w:lang w:val="ru-RU"/>
        </w:rPr>
      </w:pPr>
    </w:p>
    <w:p w14:paraId="7E2981C1">
      <w:pPr>
        <w:pStyle w:val="30"/>
        <w:jc w:val="right"/>
        <w:rPr>
          <w:b/>
          <w:bCs/>
          <w:i/>
          <w:iCs/>
          <w:szCs w:val="24"/>
          <w:lang w:val="ru-RU"/>
        </w:rPr>
      </w:pPr>
      <w:r>
        <w:rPr>
          <w:b/>
          <w:bCs/>
          <w:i/>
          <w:iCs/>
          <w:szCs w:val="24"/>
          <w:lang w:val="ru-RU"/>
        </w:rPr>
        <w:t>ПРИЛОЖЕНИЕ Б</w:t>
      </w:r>
    </w:p>
    <w:p w14:paraId="1963CB31">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b/>
          <w:lang w:val="ru-RU"/>
        </w:rPr>
      </w:pPr>
    </w:p>
    <w:p w14:paraId="2476D6D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center"/>
        <w:rPr>
          <w:lang w:val="ru-RU"/>
        </w:rPr>
      </w:pPr>
      <w:r>
        <w:rPr>
          <w:b/>
          <w:lang w:val="ru-RU"/>
        </w:rPr>
        <w:t>ФОРМА ТЕНДЕРНОГО ПРЕДЛОЖЕНИЯ</w:t>
      </w:r>
    </w:p>
    <w:p w14:paraId="7E1DC1BC">
      <w:pPr>
        <w:tabs>
          <w:tab w:val="right" w:pos="9072"/>
        </w:tabs>
        <w:suppressAutoHyphens/>
        <w:jc w:val="both"/>
        <w:rPr>
          <w:lang w:val="ru-RU"/>
        </w:rPr>
      </w:pPr>
      <w:r>
        <w:rPr>
          <w:lang w:val="ru-RU"/>
        </w:rPr>
        <w:t xml:space="preserve"> </w:t>
      </w:r>
      <w:r>
        <w:rPr>
          <w:lang w:val="ru-RU"/>
        </w:rPr>
        <w:tab/>
      </w:r>
      <w:r>
        <w:rPr>
          <w:lang w:val="ru-RU"/>
        </w:rPr>
        <w:t xml:space="preserve">  ____________</w:t>
      </w:r>
    </w:p>
    <w:p w14:paraId="569E4740">
      <w:pPr>
        <w:spacing w:after="200"/>
        <w:contextualSpacing/>
        <w:jc w:val="both"/>
        <w:rPr>
          <w:lang w:val="ru-RU"/>
        </w:rPr>
      </w:pPr>
    </w:p>
    <w:p w14:paraId="11204921">
      <w:pPr>
        <w:spacing w:after="200"/>
        <w:contextualSpacing/>
        <w:jc w:val="both"/>
        <w:rPr>
          <w:u w:val="single"/>
          <w:lang w:val="ru-RU"/>
        </w:rPr>
      </w:pPr>
      <w:r>
        <w:rPr>
          <w:lang w:val="ru-RU"/>
        </w:rPr>
        <w:t>Кому</w:t>
      </w:r>
      <w:r>
        <w:rPr>
          <w:lang w:val="ru-RU"/>
        </w:rPr>
        <w:tab/>
      </w:r>
      <w:r>
        <w:rPr>
          <w:lang w:val="ru-RU"/>
        </w:rPr>
        <w:t xml:space="preserve">: </w:t>
      </w:r>
    </w:p>
    <w:p w14:paraId="1EA23987">
      <w:pPr>
        <w:tabs>
          <w:tab w:val="left" w:pos="0"/>
          <w:tab w:val="left" w:pos="567"/>
          <w:tab w:val="left" w:pos="72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both"/>
        <w:rPr>
          <w:lang w:val="ru-RU"/>
        </w:rPr>
      </w:pPr>
    </w:p>
    <w:p w14:paraId="5085AEE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lang w:val="ru-RU"/>
        </w:rPr>
      </w:pPr>
    </w:p>
    <w:p w14:paraId="3393E355">
      <w:pPr>
        <w:jc w:val="both"/>
        <w:rPr>
          <w:lang w:val="ru-RU"/>
        </w:rPr>
      </w:pPr>
      <w:r>
        <w:rPr>
          <w:lang w:val="ru-RU"/>
        </w:rPr>
        <w:t xml:space="preserve">Адрес: </w:t>
      </w:r>
    </w:p>
    <w:p w14:paraId="4B8500A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1133" w:hanging="53"/>
        <w:contextualSpacing/>
        <w:jc w:val="both"/>
        <w:rPr>
          <w:lang w:val="ru-RU"/>
        </w:rPr>
      </w:pPr>
    </w:p>
    <w:p w14:paraId="4877F405">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rPr>
          <w:spacing w:val="-3"/>
          <w:lang w:val="ru-RU"/>
        </w:rPr>
      </w:pPr>
      <w:r>
        <w:rPr>
          <w:spacing w:val="-3"/>
          <w:lang w:val="ru-RU"/>
        </w:rPr>
        <w:t xml:space="preserve">Мы предлагаем выполнить поставку товаров по контракту № </w:t>
      </w:r>
      <w:r>
        <w:rPr>
          <w:lang w:val="ru-RU"/>
        </w:rPr>
        <w:t>_________________________________</w:t>
      </w:r>
      <w:r>
        <w:rPr>
          <w:spacing w:val="-3"/>
          <w:lang w:val="ru-RU"/>
        </w:rPr>
        <w:t xml:space="preserve"> в соответствии с Условиями Контракта, прилагаемыми к настоящему Тендерному Предложению, по цене Контракта на общую сумму ____________________ с учетом налогов, (______________) [наименование валюты].</w:t>
      </w:r>
    </w:p>
    <w:p w14:paraId="3CD9315E">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rPr>
          <w:spacing w:val="-3"/>
          <w:lang w:val="ru-RU"/>
        </w:rPr>
      </w:pPr>
    </w:p>
    <w:p w14:paraId="7347BCE9">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both"/>
        <w:rPr>
          <w:spacing w:val="-3"/>
          <w:lang w:val="ru-RU"/>
        </w:rPr>
      </w:pPr>
      <w:r>
        <w:rPr>
          <w:spacing w:val="-3"/>
          <w:lang w:val="ru-RU"/>
        </w:rPr>
        <w:t>Мы предлагаем завершить поставку товаров, описанных в Контракте в течение периода ___________ дней с даты подписания контракта.</w:t>
      </w:r>
    </w:p>
    <w:p w14:paraId="222727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jc w:val="both"/>
        <w:rPr>
          <w:spacing w:val="-3"/>
          <w:lang w:val="ru-RU"/>
        </w:rPr>
      </w:pPr>
      <w:r>
        <w:rPr>
          <w:spacing w:val="-3"/>
          <w:lang w:val="ru-RU"/>
        </w:rPr>
        <w:t>Настоящее Тендерное предложение вместе с Вашим письменным подтверждением его принятия составляют Контракт, обязательный для выполнения обеими сторонами. Мы понимаем, что вы не обязаны принимать предложение с наименьшей стоимостью, или какое-либо другое из полученных Вами предложений.</w:t>
      </w:r>
    </w:p>
    <w:p w14:paraId="532B4EB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rPr>
          <w:spacing w:val="-3"/>
          <w:lang w:val="ru-RU"/>
        </w:rPr>
      </w:pPr>
      <w:r>
        <w:rPr>
          <w:spacing w:val="-3"/>
          <w:lang w:val="ru-RU"/>
        </w:rPr>
        <w:t>Настоящим подтверждаем, что данное Тендерное предложение соответствует сроку действия Тендерных предложений, указанному в документах конкурсных торгов.</w:t>
      </w:r>
    </w:p>
    <w:p w14:paraId="3F772436">
      <w:pPr>
        <w:contextualSpacing/>
        <w:jc w:val="both"/>
        <w:rPr>
          <w:lang w:val="ru-RU"/>
        </w:rPr>
      </w:pPr>
      <w:r>
        <w:rPr>
          <w:lang w:val="ru-RU"/>
        </w:rPr>
        <w:t>Мы признаем, что наша правомочность для участия в конкурсных торгах на получение любого контракта с Заемщиком будет автоматически приостановлена на срок 2 года, начиная с даты вскрытия заявок, если мы нарушим свое обязательство (свои обязательства), связанные с условиями тендерных предложений, потому что мы:</w:t>
      </w:r>
    </w:p>
    <w:p w14:paraId="58B4F6C5">
      <w:pPr>
        <w:contextualSpacing/>
        <w:jc w:val="both"/>
        <w:rPr>
          <w:lang w:val="ru-RU"/>
        </w:rPr>
      </w:pPr>
      <w:r>
        <w:rPr>
          <w:lang w:val="ru-RU"/>
        </w:rPr>
        <w:t>(</w:t>
      </w:r>
      <w:r>
        <w:t>a</w:t>
      </w:r>
      <w:r>
        <w:rPr>
          <w:lang w:val="ru-RU"/>
        </w:rPr>
        <w:t xml:space="preserve">) </w:t>
      </w:r>
      <w:r>
        <w:rPr>
          <w:lang w:val="ru-RU"/>
        </w:rPr>
        <w:tab/>
      </w:r>
      <w:r>
        <w:rPr>
          <w:lang w:val="ru-RU"/>
        </w:rPr>
        <w:t xml:space="preserve">отозвали свое Тендерное предложение в течение срока действия тендерного предложения, указанного в Форме тендерного предложения; или </w:t>
      </w:r>
    </w:p>
    <w:p w14:paraId="316BC486">
      <w:pPr>
        <w:contextualSpacing/>
        <w:jc w:val="both"/>
        <w:rPr>
          <w:lang w:val="ru-RU"/>
        </w:rPr>
      </w:pPr>
      <w:r>
        <w:rPr>
          <w:lang w:val="ru-RU"/>
        </w:rPr>
        <w:t>(</w:t>
      </w:r>
      <w:r>
        <w:t>b</w:t>
      </w:r>
      <w:r>
        <w:rPr>
          <w:lang w:val="ru-RU"/>
        </w:rPr>
        <w:t xml:space="preserve">) </w:t>
      </w:r>
      <w:r>
        <w:rPr>
          <w:lang w:val="ru-RU"/>
        </w:rPr>
        <w:tab/>
      </w:r>
      <w:r>
        <w:rPr>
          <w:lang w:val="ru-RU"/>
        </w:rPr>
        <w:t>будучи уведомленными о принятии нашего Тендерного предложения Покупателем в течение срока действия тендерного предложения: не исполняем или отказываемся от исполнения Контракта.</w:t>
      </w:r>
    </w:p>
    <w:p w14:paraId="0E5F242C">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rPr>
          <w:spacing w:val="-3"/>
          <w:lang w:val="ru-RU"/>
        </w:rPr>
      </w:pPr>
    </w:p>
    <w:p w14:paraId="72FB5724">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rPr>
          <w:spacing w:val="-3"/>
          <w:lang w:val="ru-RU"/>
        </w:rPr>
      </w:pPr>
      <w:r>
        <w:rPr>
          <w:spacing w:val="-3"/>
          <w:lang w:val="ru-RU"/>
        </w:rPr>
        <w:t>Подпись уполномоченного лица: _______________________________________________</w:t>
      </w:r>
    </w:p>
    <w:p w14:paraId="2F4AF1E5">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rPr>
          <w:spacing w:val="-3"/>
          <w:lang w:val="ru-RU"/>
        </w:rPr>
      </w:pPr>
      <w:r>
        <w:rPr>
          <w:spacing w:val="-3"/>
          <w:lang w:val="ru-RU"/>
        </w:rPr>
        <w:t>ФИО и должность подписавшего: ______________________________________________</w:t>
      </w:r>
    </w:p>
    <w:p w14:paraId="692EB4B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contextualSpacing/>
        <w:rPr>
          <w:spacing w:val="-3"/>
        </w:rPr>
      </w:pPr>
      <w:r>
        <w:rPr>
          <w:spacing w:val="-3"/>
          <w:lang w:val="ru-RU"/>
        </w:rPr>
        <w:t>Наименование Поставщика: _______________________________________________</w:t>
      </w:r>
    </w:p>
    <w:sectPr>
      <w:headerReference r:id="rId4" w:type="default"/>
      <w:footerReference r:id="rId5" w:type="default"/>
      <w:pgSz w:w="11900" w:h="16820"/>
      <w:pgMar w:top="2347" w:right="964" w:bottom="1440" w:left="1276" w:header="709" w:footer="709" w:gutter="0"/>
      <w:pgNumType w:start="3"/>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DengXian Light">
    <w:panose1 w:val="02010600030101010101"/>
    <w:charset w:val="86"/>
    <w:family w:val="auto"/>
    <w:pitch w:val="default"/>
    <w:sig w:usb0="A00002BF" w:usb1="38CF7CFA" w:usb2="00000016" w:usb3="00000000" w:csb0="0004000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Times New Roman Bold">
    <w:altName w:val="Times New Roman"/>
    <w:panose1 w:val="00000000000000000000"/>
    <w:charset w:val="00"/>
    <w:family w:val="roman"/>
    <w:pitch w:val="default"/>
    <w:sig w:usb0="00000000" w:usb1="00000000" w:usb2="00000000" w:usb3="00000000" w:csb0="00000001" w:csb1="00000000"/>
  </w:font>
  <w:font w:name="Calibri">
    <w:panose1 w:val="020F0502020204030204"/>
    <w:charset w:val="CC"/>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C4E63">
    <w:pPr>
      <w:pStyle w:val="27"/>
      <w:tabs>
        <w:tab w:val="right" w:pos="9921"/>
        <w:tab w:val="clear" w:pos="8640"/>
      </w:tabs>
      <w:rPr>
        <w:sz w:val="20"/>
        <w:szCs w:val="20"/>
        <w:lang w:val="ru-RU"/>
      </w:rPr>
    </w:pPr>
    <w:r>
      <w:rPr>
        <w:bCs/>
        <w:i/>
        <w:iCs/>
        <w:color w:val="FF0000"/>
        <w:sz w:val="20"/>
        <w:szCs w:val="20"/>
        <w:lang w:val="ru-RU"/>
      </w:rPr>
      <w:tab/>
    </w:r>
    <w:sdt>
      <w:sdtPr>
        <w:id w:val="1558671680"/>
      </w:sdtPr>
      <w:sdtEndPr>
        <w:rPr>
          <w:sz w:val="20"/>
          <w:szCs w:val="20"/>
        </w:rPr>
      </w:sdtEndPr>
      <w:sdtContent>
        <w:r>
          <w:rPr>
            <w:sz w:val="20"/>
            <w:szCs w:val="20"/>
          </w:rPr>
          <w:fldChar w:fldCharType="begin"/>
        </w:r>
        <w:r>
          <w:rPr>
            <w:sz w:val="20"/>
            <w:szCs w:val="20"/>
            <w:lang w:val="ru-RU"/>
          </w:rPr>
          <w:instrText xml:space="preserve"> </w:instrText>
        </w:r>
        <w:r>
          <w:rPr>
            <w:sz w:val="20"/>
            <w:szCs w:val="20"/>
          </w:rPr>
          <w:instrText xml:space="preserve">PAGE</w:instrText>
        </w:r>
        <w:r>
          <w:rPr>
            <w:sz w:val="20"/>
            <w:szCs w:val="20"/>
            <w:lang w:val="ru-RU"/>
          </w:rPr>
          <w:instrText xml:space="preserve">   \* </w:instrText>
        </w:r>
        <w:r>
          <w:rPr>
            <w:sz w:val="20"/>
            <w:szCs w:val="20"/>
          </w:rPr>
          <w:instrText xml:space="preserve">MERGEFORMAT</w:instrText>
        </w:r>
        <w:r>
          <w:rPr>
            <w:sz w:val="20"/>
            <w:szCs w:val="20"/>
            <w:lang w:val="ru-RU"/>
          </w:rPr>
          <w:instrText xml:space="preserve"> </w:instrText>
        </w:r>
        <w:r>
          <w:rPr>
            <w:sz w:val="20"/>
            <w:szCs w:val="20"/>
          </w:rPr>
          <w:fldChar w:fldCharType="separate"/>
        </w:r>
        <w:r>
          <w:rPr>
            <w:sz w:val="20"/>
            <w:szCs w:val="20"/>
            <w:lang w:val="ru-RU"/>
          </w:rPr>
          <w:t>15</w:t>
        </w:r>
        <w:r>
          <w:rPr>
            <w:sz w:val="20"/>
            <w:szCs w:val="20"/>
          </w:rPr>
          <w:fldChar w:fldCharType="end"/>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C096">
    <w:pPr>
      <w:pStyle w:val="23"/>
      <w:pBdr>
        <w:bottom w:val="single" w:color="auto" w:sz="4" w:space="0"/>
      </w:pBdr>
      <w:jc w:val="center"/>
      <w:rPr>
        <w:rFonts w:ascii="Calibri Light" w:hAnsi="Calibri Light" w:cs="Calibri Light"/>
        <w:color w:val="000000" w:themeColor="text1"/>
        <w14:textFill>
          <w14:solidFill>
            <w14:schemeClr w14:val="tx1"/>
          </w14:solidFill>
        </w14:textFill>
      </w:rPr>
    </w:pPr>
    <w:r>
      <w:rPr>
        <w:rFonts w:ascii="Calibri Light" w:hAnsi="Calibri Light" w:cs="Calibri Light"/>
        <w:color w:val="000000" w:themeColor="text1"/>
        <w:lang w:val="ru-RU" w:eastAsia="ru-RU"/>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450215</wp:posOffset>
              </wp:positionV>
              <wp:extent cx="6868795" cy="360045"/>
              <wp:effectExtent l="0" t="0" r="8255" b="2540"/>
              <wp:wrapNone/>
              <wp:docPr id="5" name="Rectangle 5"/>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5" o:spid="_x0000_s1026" o:spt="1" style="position:absolute;left:0pt;margin-top:35.45pt;height:28.35pt;width:540.85pt;mso-position-horizontal:center;mso-position-horizontal-relative:margin;mso-position-vertical-relative:page;z-index:251661312;v-text-anchor:middle;mso-width-relative:page;mso-height-relative:page;" fillcolor="#1F3671" filled="t" stroked="f" coordsize="21600,21600" o:gfxdata="UEsDBAoAAAAAAIdO4kAAAAAAAAAAAAAAAAAEAAAAZHJzL1BLAwQUAAAACACHTuJAgjNd+tUAAAAI&#10;AQAADwAAAGRycy9kb3ducmV2LnhtbE2PMU/DMBCFdyT+g3VIbNROh6SEOB0qWCoxEFDFeI2vSYR9&#10;DrHbhH+PO8H2Tu/03veq7eKsuNAUBs8aspUCQdx6M3Cn4eP95WEDIkRkg9YzafihANv69qbC0viZ&#10;3+jSxE6kEA4lauhjHEspQ9uTw7DyI3HyTn5yGNM5ddJMOKdwZ+VaqVw6HDg19DjSrqf2qzk7DYf5&#10;c9lZ/23Na8775+YUHO6D1vd3mXoCEWmJf89wxU/oUCemoz+zCcJqSEOihkI9gri6apMVII5JrYsc&#10;ZF3J/wPqX1BLAwQUAAAACACHTuJAucIcql4CAADOBAAADgAAAGRycy9lMm9Eb2MueG1srVRNb9sw&#10;DL0P2H8QdF+dpG2aGXWKoEGGAcUarBt2ZmTZFqCvUUqc7tePkt2m63boYTkopMg88j2Rub45Gs0O&#10;EoNytuLTswln0gpXK9tW/Pu3zYcFZyGCrUE7Kyv+KAO/Wb5/d937Us5c53QtkRGIDWXvK97F6Mui&#10;CKKTBsKZ89JSsHFoIJKLbVEj9IRudDGbTOZF77D26IQMgW7XQ5CPiPgWQNc0Ssi1E3sjbRxQUWqI&#10;RCl0yge+zN02jRTxvmmCjExXnJjGfFIRsnfpLJbXULYIvlNibAHe0sIrTgaUpaLPUGuIwPao/oIy&#10;SqALrolnwpliIJIVIRbTySttHjrwMnMhqYN/Fj38P1jx5bBFpuqKX3JmwdCDfyXRwLZassskT+9D&#10;SVkPfoujF8hMXI8NmvRNLNgxS/r4LKk8Ribocr6YLxYTUltQ7Hw+oU8CLU6/9hjiJ+kMS0bFkapn&#10;JeFwF+KQ+pSSigWnVb1RWmcH292tRnYAet7p5nx+NR3R/0jTlvUUn13lRoCGtqFhoZ6MJ+LBtpyB&#10;bmkbRMRc27pUgYpDmWqvIXRDjQybSkBpVKQ90MpUnAieeGlL9JJog0zJ2rn6kVRGN4xf8GKjCPYO&#10;QtwC0ryRPrSR8Z6ORjvq1Y0WZ53DX/+6T/k0BhTlrKf5JR4/94CSM/3Z0oB8nF5cpIHPzsXl1Ywc&#10;fBnZvYzYvbl1SUPafS+ymfKjfjIbdOYHLe4qVaUQWEG1B8VG5zYOe0WrL+RqldNoyD3EO/vgRQJP&#10;ulm32kfXqPy2J3VG0WjM83SMK5n26KWfs05/Q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gjNd&#10;+tUAAAAIAQAADwAAAAAAAAABACAAAAAiAAAAZHJzL2Rvd25yZXYueG1sUEsBAhQAFAAAAAgAh07i&#10;QLnCHKpeAgAAzgQAAA4AAAAAAAAAAQAgAAAAJAEAAGRycy9lMm9Eb2MueG1sUEsFBgAAAAAGAAYA&#10;WQEAAPQFAAAAAA==&#10;">
              <v:fill on="t" focussize="0,0"/>
              <v:stroke on="f" weight="1pt" miterlimit="8" joinstyle="miter"/>
              <v:imagedata o:title=""/>
              <o:lock v:ext="edit" aspectratio="f"/>
            </v:rect>
          </w:pict>
        </mc:Fallback>
      </mc:AlternateContent>
    </w:r>
    <w:r>
      <w:rPr>
        <w:rFonts w:ascii="Calibri Light" w:hAnsi="Calibri Light" w:cs="Calibri Light"/>
        <w:color w:val="000000" w:themeColor="text1"/>
        <w:lang w:val="ru-RU" w:eastAsia="ru-RU"/>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posOffset>860425</wp:posOffset>
              </wp:positionV>
              <wp:extent cx="6868795" cy="179705"/>
              <wp:effectExtent l="0" t="0" r="8255" b="0"/>
              <wp:wrapNone/>
              <wp:docPr id="6" name="Rectangle 6"/>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 o:spid="_x0000_s1026" o:spt="1" style="position:absolute;left:0pt;margin-top:67.75pt;height:14.15pt;width:540.85pt;mso-position-horizontal:center;mso-position-horizontal-relative:margin;mso-position-vertical-relative:page;z-index:251662336;v-text-anchor:middle;mso-width-relative:page;mso-height-relative:page;" fillcolor="#92D050" filled="t" stroked="f" coordsize="21600,21600" o:gfxdata="UEsDBAoAAAAAAIdO4kAAAAAAAAAAAAAAAAAEAAAAZHJzL1BLAwQUAAAACACHTuJApY0zyNYAAAAJ&#10;AQAADwAAAGRycy9kb3ducmV2LnhtbE2PzU7DMBCE70h9B2srcaN2KG2jEKcSkeCKmvIAbrz5UeN1&#10;iN0/np7tCW67O6PZb/Lt1Q3ijFPoPWlIFgoEUu1tT62Gr/37UwoiREPWDJ5Qww0DbIvZQ24y6y+0&#10;w3MVW8EhFDKjoYtxzKQMdYfOhIUfkVhr/ORM5HVqpZ3MhcPdIJ+VWktneuIPnRmx7LA+VienoSnV&#10;58cufI/HH/kS6qkpN2+3SuvHeaJeQUS8xj8z3PEZHQpmOvgT2SAGDVwk8nW5WoG4yypNNiAOPK2X&#10;Kcgil/8bFL9QSwMEFAAAAAgAh07iQHocpJdcAgAAzgQAAA4AAABkcnMvZTJvRG9jLnhtbK1UTU8b&#10;MRC9V+p/sHwvm0QQQsQGRURUlVBB0Kpnx2vvWvJXbScb+uv77N0ApT1w6MWZ8Uzem3me2curg9Fk&#10;L0JUztZ0ejKhRFjuGmXbmn7/dvNpQUlMzDZMOytq+iQivVp9/HDZ+6WYuc7pRgQCEBuXva9pl5Jf&#10;VlXknTAsnjgvLILSBcMS3NBWTWA90I2uZpPJvOpdaHxwXMSI280QpCNieA+gk1JxsXF8Z4RNA2oQ&#10;miW0FDvlI12VaqUUPN1JGUUiuqboNJUTJLC3+axWl2zZBuY7xccS2HtKeNOTYcqC9BlqwxIju6D+&#10;gjKKBxedTCfcmWpopCiCLqaTN9o8dsyL0gukjv5Z9Pj/YPnX/X0gqqnpnBLLDB78AaIx22pB5lme&#10;3sclsh79fRi9CDP3epDB5F90QQ5F0qdnScUhEY7L+WK+WEygNkdsCgs2YKqXf/sQ02fhDMlGTQPY&#10;i5JsfxvTkHpMyWTRadXcKK2LE9rttQ5kz/C8F7PN5OyI/keatqQH++y8FMIwtBLDgpqMR+PRtpQw&#10;3WIbeAqF27rMAHK2zNwbFruBo8AOQ2NUwh5oZWpa2joya4v2smiDTNnauuYJKgc3jF/0/EYB9pbF&#10;dM8C5g36YCPTHQ6pHWp1o0VJ58Kvf93nfIwBopT0mF/08XPHgqBEf7EYkIvp6Wke+OKcnp3P4ITX&#10;ke3riN2ZawcNp9h9z4uZ85M+mjI48wOLu86sCDHLwT0oNjrXadgrrD4X63VJw5B7lm7to+cZPAtq&#10;3XqXnFTlbV/UGUXDmJfpGFcy79Frv2S9fIZ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ljTPI&#10;1gAAAAkBAAAPAAAAAAAAAAEAIAAAACIAAABkcnMvZG93bnJldi54bWxQSwECFAAUAAAACACHTuJA&#10;ehykl1wCAADOBAAADgAAAAAAAAABACAAAAAlAQAAZHJzL2Uyb0RvYy54bWxQSwUGAAAAAAYABgBZ&#10;AQAA8wUAAAAA&#10;">
              <v:fill on="t" focussize="0,0"/>
              <v:stroke on="f" weight="1pt" miterlimit="8" joinstyle="miter"/>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F7967">
    <w:pPr>
      <w:pStyle w:val="23"/>
      <w:pBdr>
        <w:bottom w:val="single" w:color="auto" w:sz="4" w:space="0"/>
      </w:pBdr>
      <w:jc w:val="center"/>
      <w:rPr>
        <w:rFonts w:ascii="Calibri Light" w:hAnsi="Calibri Light" w:cs="Calibri Light"/>
        <w:color w:val="000000" w:themeColor="text1"/>
        <w14:textFill>
          <w14:solidFill>
            <w14:schemeClr w14:val="tx1"/>
          </w14:solidFill>
        </w14:textFill>
      </w:rPr>
    </w:pPr>
    <w:r>
      <w:rPr>
        <w:rFonts w:ascii="Calibri Light" w:hAnsi="Calibri Light" w:cs="Calibri Light"/>
        <w:color w:val="000000" w:themeColor="text1"/>
        <w:lang w:val="ru-RU" w:eastAsia="ru-RU"/>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450215</wp:posOffset>
              </wp:positionV>
              <wp:extent cx="6868795" cy="360045"/>
              <wp:effectExtent l="0" t="0" r="8255" b="2540"/>
              <wp:wrapNone/>
              <wp:docPr id="2" name="Rectangle 2"/>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top:35.45pt;height:28.35pt;width:540.85pt;mso-position-horizontal:center;mso-position-horizontal-relative:margin;mso-position-vertical-relative:page;z-index:251659264;v-text-anchor:middle;mso-width-relative:page;mso-height-relative:page;" fillcolor="#1F3671" filled="t" stroked="f" coordsize="21600,21600" o:gfxdata="UEsDBAoAAAAAAIdO4kAAAAAAAAAAAAAAAAAEAAAAZHJzL1BLAwQUAAAACACHTuJAgjNd+tUAAAAI&#10;AQAADwAAAGRycy9kb3ducmV2LnhtbE2PMU/DMBCFdyT+g3VIbNROh6SEOB0qWCoxEFDFeI2vSYR9&#10;DrHbhH+PO8H2Tu/03veq7eKsuNAUBs8aspUCQdx6M3Cn4eP95WEDIkRkg9YzafihANv69qbC0viZ&#10;3+jSxE6kEA4lauhjHEspQ9uTw7DyI3HyTn5yGNM5ddJMOKdwZ+VaqVw6HDg19DjSrqf2qzk7DYf5&#10;c9lZ/23Na8775+YUHO6D1vd3mXoCEWmJf89wxU/oUCemoz+zCcJqSEOihkI9gri6apMVII5JrYsc&#10;ZF3J/wPqX1BLAwQUAAAACACHTuJASQjrFV4CAADOBAAADgAAAGRycy9lMm9Eb2MueG1srVTBbtsw&#10;DL0P2D8Iuq9O0i7NjDpF0CDDgGIN2g07M7JsC5BETVLidF8/Snabrtuhh+WgkCLzyPdE5ur6aDQ7&#10;SB8U2opPzyacSSuwVrat+Pdvmw8LzkIEW4NGKyv+KAO/Xr5/d9W7Us6wQ11LzwjEhrJ3Fe9idGVR&#10;BNFJA+EMnbQUbNAbiOT6tqg99IRudDGbTOZFj752HoUMgW7XQ5CPiP4tgNg0Ssg1ir2RNg6oXmqI&#10;RCl0ygW+zN02jRTxrmmCjExXnJjGfFIRsnfpLJZXULYeXKfE2AK8pYVXnAwoS0WfodYQge29+gvK&#10;KOExYBPPBJpiIJIVIRbTySttHjpwMnMhqYN7Fj38P1jx9bD1TNUVn3FmwdCD35NoYFst2SzJ07tQ&#10;UtaD2/rRC2QmrsfGm/RNLNgxS/r4LKk8Ribocr6YLxYTUltQ7Hw+oU8CLU6/dj7EzxINS0bFPVXP&#10;SsLhNsQh9SklFQuoVb1RWmfHt7sb7dkB6Hmnm/P55XRE/yNNW9ZTfHaZGwEa2oaGhXoyjogH23IG&#10;uqVtENHn2hZTBSoOZaq9htANNTJsKgGlUZH2QCtTcSJ44qUt0UuiDTIla4f1I6nscRi/4MRGEewt&#10;hLgFT/NG+tBGxjs6Go3UK44WZx36X/+6T/k0BhTlrKf5JR4/9+AlZ/qLpQH5NL24SAOfnYuPlzNy&#10;/MvI7mXE7s0NJg1p953IZsqP+slsPJoftLirVJVCYAXVHhQbnZs47BWtvpCrVU6jIXcQb+2DEwk8&#10;6WZxtY/YqPy2J3VG0WjM83SMK5n26KWfs05/Q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gjNd&#10;+tUAAAAIAQAADwAAAAAAAAABACAAAAAiAAAAZHJzL2Rvd25yZXYueG1sUEsBAhQAFAAAAAgAh07i&#10;QEkI6xVeAgAAzgQAAA4AAAAAAAAAAQAgAAAAJAEAAGRycy9lMm9Eb2MueG1sUEsFBgAAAAAGAAYA&#10;WQEAAPQFAAAAAA==&#10;">
              <v:fill on="t" focussize="0,0"/>
              <v:stroke on="f" weight="1pt" miterlimit="8" joinstyle="miter"/>
              <v:imagedata o:title=""/>
              <o:lock v:ext="edit" aspectratio="f"/>
            </v:rect>
          </w:pict>
        </mc:Fallback>
      </mc:AlternateContent>
    </w:r>
    <w:r>
      <w:rPr>
        <w:rFonts w:ascii="Calibri Light" w:hAnsi="Calibri Light" w:cs="Calibri Light"/>
        <w:color w:val="000000" w:themeColor="text1"/>
        <w:lang w:val="ru-RU" w:eastAsia="ru-RU"/>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860425</wp:posOffset>
              </wp:positionV>
              <wp:extent cx="6868795" cy="179705"/>
              <wp:effectExtent l="0" t="0" r="8255" b="0"/>
              <wp:wrapNone/>
              <wp:docPr id="3" name="Rectangle 3"/>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3" o:spid="_x0000_s1026" o:spt="1" style="position:absolute;left:0pt;margin-top:67.75pt;height:14.15pt;width:540.85pt;mso-position-horizontal:center;mso-position-horizontal-relative:margin;mso-position-vertical-relative:page;z-index:251660288;v-text-anchor:middle;mso-width-relative:page;mso-height-relative:page;" fillcolor="#92D050" filled="t" stroked="f" coordsize="21600,21600" o:gfxdata="UEsDBAoAAAAAAIdO4kAAAAAAAAAAAAAAAAAEAAAAZHJzL1BLAwQUAAAACACHTuJApY0zyNYAAAAJ&#10;AQAADwAAAGRycy9kb3ducmV2LnhtbE2PzU7DMBCE70h9B2srcaN2KG2jEKcSkeCKmvIAbrz5UeN1&#10;iN0/np7tCW67O6PZb/Lt1Q3ijFPoPWlIFgoEUu1tT62Gr/37UwoiREPWDJ5Qww0DbIvZQ24y6y+0&#10;w3MVW8EhFDKjoYtxzKQMdYfOhIUfkVhr/ORM5HVqpZ3MhcPdIJ+VWktneuIPnRmx7LA+VienoSnV&#10;58cufI/HH/kS6qkpN2+3SuvHeaJeQUS8xj8z3PEZHQpmOvgT2SAGDVwk8nW5WoG4yypNNiAOPK2X&#10;Kcgil/8bFL9QSwMEFAAAAAgAh07iQLGLuhJcAgAAzgQAAA4AAABkcnMvZTJvRG9jLnhtbK1UTU8b&#10;MRC9V+p/sHwvm4SvELFBERFVJVQQtOrZ8dq7lvxV28mG/vo+ezdAaQ8cenFmPJP3Zp5n9vJqbzTZ&#10;iRCVszWdHk0oEZa7Rtm2pt+/3XyaUxITsw3TzoqaPolIr5YfP1z2fiFmrnO6EYEAxMZF72vapeQX&#10;VRV5JwyLR84Li6B0wbAEN7RVE1gPdKOr2WRyVvUuND44LmLE7XoI0hExvAfQSam4WDu+NcKmATUI&#10;zRJaip3ykS5LtVIKnu6kjCIRXVN0msoJEtibfFbLS7ZoA/Od4mMJ7D0lvOnJMGVB+gy1ZomRbVB/&#10;QRnFg4tOpiPuTDU0UhRBF9PJG20eO+ZF6QVSR/8sevx/sPzr7j4Q1dT0mBLLDB78AaIx22pBjrM8&#10;vY8LZD36+zB6EWbudS+Dyb/oguyLpE/Pkop9IhyXZ/Oz+XwCtTliU1iwAVO9/NuHmD4LZ0g2ahrA&#10;XpRku9uYhtRDSiaLTqvmRmldnNBurnUgO4bnvZitJ6cH9D/StCU92GfnpRCGoZUYFtRkPBqPtqWE&#10;6RbbwFMo3NZlBpCzReZes9gNHAV2GBqjEvZAK1PT0taBWVu0l0UbZMrWxjVPUDm4Yfyi5zcKsLcs&#10;pnsWMG/QBxuZ7nBI7VCrGy1KOhd+/es+52MMEKWkx/yij59bFgQl+ovFgFxMT07ywBfn5PR8Bie8&#10;jmxeR+zWXDtoOMXue17MnJ/0wZTBmR9Y3FVmRYhZDu5BsdG5TsNeYfW5WK1KGobcs3RrHz3P4FlQ&#10;61bb5KQqb/uizigaxrxMx7iSeY9e+yXr5TO0/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ljTPI&#10;1gAAAAkBAAAPAAAAAAAAAAEAIAAAACIAAABkcnMvZG93bnJldi54bWxQSwECFAAUAAAACACHTuJA&#10;sYu6ElwCAADOBAAADgAAAAAAAAABACAAAAAlAQAAZHJzL2Uyb0RvYy54bWxQSwUGAAAAAAYABgBZ&#10;AQAA8wU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25"/>
      <w:lvlText w:val=""/>
      <w:lvlJc w:val="left"/>
      <w:pPr>
        <w:tabs>
          <w:tab w:val="left" w:pos="720"/>
        </w:tabs>
        <w:ind w:left="720" w:hanging="360"/>
      </w:pPr>
      <w:rPr>
        <w:rFonts w:hint="default" w:ascii="Symbol" w:hAnsi="Symbol"/>
      </w:rPr>
    </w:lvl>
  </w:abstractNum>
  <w:abstractNum w:abstractNumId="1">
    <w:nsid w:val="0779547D"/>
    <w:multiLevelType w:val="multilevel"/>
    <w:tmpl w:val="0779547D"/>
    <w:lvl w:ilvl="0" w:tentative="0">
      <w:start w:val="10"/>
      <w:numFmt w:val="decimal"/>
      <w:lvlText w:val="%1"/>
      <w:lvlJc w:val="left"/>
      <w:pPr>
        <w:ind w:left="420" w:hanging="420"/>
      </w:pPr>
      <w:rPr>
        <w:rFonts w:hint="default"/>
      </w:rPr>
    </w:lvl>
    <w:lvl w:ilvl="1" w:tentative="0">
      <w:start w:val="1"/>
      <w:numFmt w:val="decimal"/>
      <w:lvlText w:val="%1.%2"/>
      <w:lvlJc w:val="left"/>
      <w:pPr>
        <w:ind w:left="1549" w:hanging="420"/>
      </w:pPr>
      <w:rPr>
        <w:rFonts w:hint="default"/>
      </w:rPr>
    </w:lvl>
    <w:lvl w:ilvl="2" w:tentative="0">
      <w:start w:val="1"/>
      <w:numFmt w:val="decimal"/>
      <w:lvlText w:val="%1.%2.%3"/>
      <w:lvlJc w:val="left"/>
      <w:pPr>
        <w:ind w:left="2978" w:hanging="720"/>
      </w:pPr>
      <w:rPr>
        <w:rFonts w:hint="default"/>
      </w:rPr>
    </w:lvl>
    <w:lvl w:ilvl="3" w:tentative="0">
      <w:start w:val="1"/>
      <w:numFmt w:val="decimal"/>
      <w:lvlText w:val="%1.%2.%3.%4"/>
      <w:lvlJc w:val="left"/>
      <w:pPr>
        <w:ind w:left="4107" w:hanging="720"/>
      </w:pPr>
      <w:rPr>
        <w:rFonts w:hint="default"/>
      </w:rPr>
    </w:lvl>
    <w:lvl w:ilvl="4" w:tentative="0">
      <w:start w:val="1"/>
      <w:numFmt w:val="decimal"/>
      <w:lvlText w:val="%1.%2.%3.%4.%5"/>
      <w:lvlJc w:val="left"/>
      <w:pPr>
        <w:ind w:left="5596" w:hanging="1080"/>
      </w:pPr>
      <w:rPr>
        <w:rFonts w:hint="default"/>
      </w:rPr>
    </w:lvl>
    <w:lvl w:ilvl="5" w:tentative="0">
      <w:start w:val="1"/>
      <w:numFmt w:val="decimal"/>
      <w:lvlText w:val="%1.%2.%3.%4.%5.%6"/>
      <w:lvlJc w:val="left"/>
      <w:pPr>
        <w:ind w:left="6725" w:hanging="1080"/>
      </w:pPr>
      <w:rPr>
        <w:rFonts w:hint="default"/>
      </w:rPr>
    </w:lvl>
    <w:lvl w:ilvl="6" w:tentative="0">
      <w:start w:val="1"/>
      <w:numFmt w:val="decimal"/>
      <w:lvlText w:val="%1.%2.%3.%4.%5.%6.%7"/>
      <w:lvlJc w:val="left"/>
      <w:pPr>
        <w:ind w:left="8214" w:hanging="1440"/>
      </w:pPr>
      <w:rPr>
        <w:rFonts w:hint="default"/>
      </w:rPr>
    </w:lvl>
    <w:lvl w:ilvl="7" w:tentative="0">
      <w:start w:val="1"/>
      <w:numFmt w:val="decimal"/>
      <w:lvlText w:val="%1.%2.%3.%4.%5.%6.%7.%8"/>
      <w:lvlJc w:val="left"/>
      <w:pPr>
        <w:ind w:left="9343" w:hanging="1440"/>
      </w:pPr>
      <w:rPr>
        <w:rFonts w:hint="default"/>
      </w:rPr>
    </w:lvl>
    <w:lvl w:ilvl="8" w:tentative="0">
      <w:start w:val="1"/>
      <w:numFmt w:val="decimal"/>
      <w:lvlText w:val="%1.%2.%3.%4.%5.%6.%7.%8.%9"/>
      <w:lvlJc w:val="left"/>
      <w:pPr>
        <w:ind w:left="10832" w:hanging="1800"/>
      </w:pPr>
      <w:rPr>
        <w:rFonts w:hint="default"/>
      </w:rPr>
    </w:lvl>
  </w:abstractNum>
  <w:abstractNum w:abstractNumId="2">
    <w:nsid w:val="09E07EB2"/>
    <w:multiLevelType w:val="multilevel"/>
    <w:tmpl w:val="09E07EB2"/>
    <w:lvl w:ilvl="0" w:tentative="0">
      <w:start w:val="3"/>
      <w:numFmt w:val="none"/>
      <w:isLgl/>
      <w:lvlText w:val="35."/>
      <w:lvlJc w:val="left"/>
      <w:pPr>
        <w:tabs>
          <w:tab w:val="left" w:pos="432"/>
        </w:tabs>
        <w:ind w:left="432" w:hanging="432"/>
      </w:pPr>
      <w:rPr>
        <w:b/>
        <w:i w:val="0"/>
        <w:sz w:val="24"/>
      </w:rPr>
    </w:lvl>
    <w:lvl w:ilvl="1" w:tentative="0">
      <w:start w:val="3"/>
      <w:numFmt w:val="decimal"/>
      <w:lvlText w:val="%135.%2"/>
      <w:lvlJc w:val="left"/>
      <w:pPr>
        <w:tabs>
          <w:tab w:val="left" w:pos="605"/>
        </w:tabs>
        <w:ind w:left="605" w:hanging="605"/>
      </w:pPr>
      <w:rPr>
        <w:rFonts w:hint="default" w:ascii="Times New Roman" w:hAnsi="Times New Roman" w:cs="Times New Roman"/>
        <w:b w:val="0"/>
        <w:i w:val="0"/>
        <w:sz w:val="24"/>
      </w:rPr>
    </w:lvl>
    <w:lvl w:ilvl="2" w:tentative="0">
      <w:start w:val="1"/>
      <w:numFmt w:val="lowerLetter"/>
      <w:lvlText w:val="(%3)"/>
      <w:lvlJc w:val="left"/>
      <w:pPr>
        <w:tabs>
          <w:tab w:val="left" w:pos="1152"/>
        </w:tabs>
        <w:ind w:left="1152" w:hanging="576"/>
      </w:pPr>
      <w:rPr>
        <w:rFonts w:hint="default" w:ascii="Times New Roman" w:hAnsi="Times New Roman" w:cs="Times New Roman"/>
        <w:b w:val="0"/>
        <w:i w:val="0"/>
        <w:sz w:val="24"/>
      </w:rPr>
    </w:lvl>
    <w:lvl w:ilvl="3" w:tentative="0">
      <w:start w:val="1"/>
      <w:numFmt w:val="lowerRoman"/>
      <w:lvlText w:val="(%4)"/>
      <w:lvlJc w:val="left"/>
      <w:pPr>
        <w:tabs>
          <w:tab w:val="left" w:pos="1901"/>
        </w:tabs>
        <w:ind w:left="1440" w:hanging="259"/>
      </w:pPr>
      <w:rPr>
        <w:rFonts w:hint="default" w:ascii="Times New Roman" w:hAnsi="Times New Roman" w:cs="Times New Roman"/>
        <w:b w:val="0"/>
        <w:i w:val="0"/>
        <w:sz w:val="24"/>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4924CEB"/>
    <w:multiLevelType w:val="multilevel"/>
    <w:tmpl w:val="14924CEB"/>
    <w:lvl w:ilvl="0" w:tentative="0">
      <w:start w:val="3"/>
      <w:numFmt w:val="none"/>
      <w:isLgl/>
      <w:lvlText w:val="35."/>
      <w:lvlJc w:val="left"/>
      <w:pPr>
        <w:tabs>
          <w:tab w:val="left" w:pos="432"/>
        </w:tabs>
        <w:ind w:left="432" w:hanging="432"/>
      </w:pPr>
      <w:rPr>
        <w:b/>
        <w:i w:val="0"/>
        <w:sz w:val="24"/>
      </w:rPr>
    </w:lvl>
    <w:lvl w:ilvl="1" w:tentative="0">
      <w:start w:val="2"/>
      <w:numFmt w:val="decimal"/>
      <w:lvlText w:val="%135.%2"/>
      <w:lvlJc w:val="left"/>
      <w:pPr>
        <w:tabs>
          <w:tab w:val="left" w:pos="605"/>
        </w:tabs>
        <w:ind w:left="605" w:hanging="605"/>
      </w:pPr>
      <w:rPr>
        <w:rFonts w:hint="default" w:ascii="Times New Roman" w:hAnsi="Times New Roman" w:cs="Times New Roman"/>
        <w:b w:val="0"/>
        <w:i w:val="0"/>
        <w:sz w:val="24"/>
      </w:rPr>
    </w:lvl>
    <w:lvl w:ilvl="2" w:tentative="0">
      <w:start w:val="1"/>
      <w:numFmt w:val="lowerLetter"/>
      <w:lvlText w:val="(%3)"/>
      <w:lvlJc w:val="left"/>
      <w:pPr>
        <w:tabs>
          <w:tab w:val="left" w:pos="1152"/>
        </w:tabs>
        <w:ind w:left="1152" w:hanging="576"/>
      </w:pPr>
      <w:rPr>
        <w:rFonts w:hint="default" w:ascii="Times New Roman" w:hAnsi="Times New Roman" w:cs="Times New Roman"/>
        <w:b w:val="0"/>
        <w:i w:val="0"/>
        <w:sz w:val="24"/>
      </w:rPr>
    </w:lvl>
    <w:lvl w:ilvl="3" w:tentative="0">
      <w:start w:val="1"/>
      <w:numFmt w:val="lowerRoman"/>
      <w:lvlText w:val="(%4)"/>
      <w:lvlJc w:val="left"/>
      <w:pPr>
        <w:tabs>
          <w:tab w:val="left" w:pos="1901"/>
        </w:tabs>
        <w:ind w:left="1440" w:hanging="259"/>
      </w:pPr>
      <w:rPr>
        <w:rFonts w:hint="default" w:ascii="Times New Roman" w:hAnsi="Times New Roman" w:cs="Times New Roman"/>
        <w:b w:val="0"/>
        <w:i w:val="0"/>
        <w:sz w:val="24"/>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338D72FC"/>
    <w:multiLevelType w:val="multilevel"/>
    <w:tmpl w:val="338D72FC"/>
    <w:lvl w:ilvl="0" w:tentative="0">
      <w:start w:val="1"/>
      <w:numFmt w:val="lowerLetter"/>
      <w:lvlText w:val="(%1)"/>
      <w:lvlJc w:val="left"/>
      <w:pPr>
        <w:tabs>
          <w:tab w:val="left" w:pos="1800"/>
        </w:tabs>
        <w:ind w:left="1800" w:hanging="360"/>
      </w:pPr>
    </w:lvl>
    <w:lvl w:ilvl="1" w:tentative="0">
      <w:start w:val="1"/>
      <w:numFmt w:val="bullet"/>
      <w:lvlText w:val=""/>
      <w:lvlJc w:val="left"/>
      <w:pPr>
        <w:tabs>
          <w:tab w:val="left" w:pos="2520"/>
        </w:tabs>
        <w:ind w:left="2520" w:hanging="360"/>
      </w:pPr>
      <w:rPr>
        <w:rFonts w:hint="default" w:ascii="Wingdings" w:hAnsi="Wingdings"/>
      </w:rPr>
    </w:lvl>
    <w:lvl w:ilvl="2" w:tentative="0">
      <w:start w:val="1"/>
      <w:numFmt w:val="lowerLetter"/>
      <w:lvlText w:val="%3)"/>
      <w:lvlJc w:val="left"/>
      <w:pPr>
        <w:tabs>
          <w:tab w:val="left" w:pos="3420"/>
        </w:tabs>
        <w:ind w:left="3420" w:hanging="360"/>
      </w:pPr>
    </w:lvl>
    <w:lvl w:ilvl="3" w:tentative="0">
      <w:start w:val="1"/>
      <w:numFmt w:val="decimal"/>
      <w:lvlText w:val="%4."/>
      <w:lvlJc w:val="left"/>
      <w:pPr>
        <w:tabs>
          <w:tab w:val="left" w:pos="3960"/>
        </w:tabs>
        <w:ind w:left="3960" w:hanging="360"/>
      </w:pPr>
    </w:lvl>
    <w:lvl w:ilvl="4" w:tentative="0">
      <w:start w:val="1"/>
      <w:numFmt w:val="lowerLetter"/>
      <w:lvlText w:val="%5."/>
      <w:lvlJc w:val="left"/>
      <w:pPr>
        <w:tabs>
          <w:tab w:val="left" w:pos="4680"/>
        </w:tabs>
        <w:ind w:left="4680" w:hanging="360"/>
      </w:pPr>
    </w:lvl>
    <w:lvl w:ilvl="5" w:tentative="0">
      <w:start w:val="1"/>
      <w:numFmt w:val="lowerRoman"/>
      <w:lvlText w:val="%6."/>
      <w:lvlJc w:val="right"/>
      <w:pPr>
        <w:tabs>
          <w:tab w:val="left" w:pos="5400"/>
        </w:tabs>
        <w:ind w:left="5400" w:hanging="180"/>
      </w:pPr>
    </w:lvl>
    <w:lvl w:ilvl="6" w:tentative="0">
      <w:start w:val="1"/>
      <w:numFmt w:val="decimal"/>
      <w:lvlText w:val="%7."/>
      <w:lvlJc w:val="left"/>
      <w:pPr>
        <w:tabs>
          <w:tab w:val="left" w:pos="6120"/>
        </w:tabs>
        <w:ind w:left="6120" w:hanging="360"/>
      </w:pPr>
    </w:lvl>
    <w:lvl w:ilvl="7" w:tentative="0">
      <w:start w:val="1"/>
      <w:numFmt w:val="lowerLetter"/>
      <w:lvlText w:val="%8."/>
      <w:lvlJc w:val="left"/>
      <w:pPr>
        <w:tabs>
          <w:tab w:val="left" w:pos="6840"/>
        </w:tabs>
        <w:ind w:left="6840" w:hanging="360"/>
      </w:pPr>
    </w:lvl>
    <w:lvl w:ilvl="8" w:tentative="0">
      <w:start w:val="1"/>
      <w:numFmt w:val="lowerRoman"/>
      <w:lvlText w:val="%9."/>
      <w:lvlJc w:val="right"/>
      <w:pPr>
        <w:tabs>
          <w:tab w:val="left" w:pos="7560"/>
        </w:tabs>
        <w:ind w:left="7560" w:hanging="180"/>
      </w:pPr>
    </w:lvl>
  </w:abstractNum>
  <w:abstractNum w:abstractNumId="5">
    <w:nsid w:val="45935F9E"/>
    <w:multiLevelType w:val="multilevel"/>
    <w:tmpl w:val="45935F9E"/>
    <w:lvl w:ilvl="0" w:tentative="0">
      <w:start w:val="4"/>
      <w:numFmt w:val="decimal"/>
      <w:lvlText w:val="%1."/>
      <w:lvlJc w:val="left"/>
      <w:pPr>
        <w:ind w:left="720" w:hanging="360"/>
      </w:pPr>
    </w:lvl>
    <w:lvl w:ilvl="1" w:tentative="0">
      <w:start w:val="1"/>
      <w:numFmt w:val="decimal"/>
      <w:isLgl/>
      <w:lvlText w:val="%1.%2"/>
      <w:lvlJc w:val="left"/>
      <w:pPr>
        <w:ind w:left="720" w:hanging="360"/>
      </w:pPr>
    </w:lvl>
    <w:lvl w:ilvl="2" w:tentative="0">
      <w:start w:val="1"/>
      <w:numFmt w:val="decimal"/>
      <w:isLgl/>
      <w:lvlText w:val="%1.%2.%3"/>
      <w:lvlJc w:val="left"/>
      <w:pPr>
        <w:ind w:left="1080" w:hanging="720"/>
      </w:pPr>
    </w:lvl>
    <w:lvl w:ilvl="3" w:tentative="0">
      <w:start w:val="1"/>
      <w:numFmt w:val="decimal"/>
      <w:isLgl/>
      <w:lvlText w:val="%1.%2.%3.%4"/>
      <w:lvlJc w:val="left"/>
      <w:pPr>
        <w:ind w:left="1080" w:hanging="720"/>
      </w:pPr>
    </w:lvl>
    <w:lvl w:ilvl="4" w:tentative="0">
      <w:start w:val="1"/>
      <w:numFmt w:val="decimal"/>
      <w:isLgl/>
      <w:lvlText w:val="%1.%2.%3.%4.%5"/>
      <w:lvlJc w:val="left"/>
      <w:pPr>
        <w:ind w:left="1440" w:hanging="1080"/>
      </w:pPr>
    </w:lvl>
    <w:lvl w:ilvl="5" w:tentative="0">
      <w:start w:val="1"/>
      <w:numFmt w:val="decimal"/>
      <w:isLgl/>
      <w:lvlText w:val="%1.%2.%3.%4.%5.%6"/>
      <w:lvlJc w:val="left"/>
      <w:pPr>
        <w:ind w:left="1440" w:hanging="1080"/>
      </w:pPr>
    </w:lvl>
    <w:lvl w:ilvl="6" w:tentative="0">
      <w:start w:val="1"/>
      <w:numFmt w:val="decimal"/>
      <w:isLgl/>
      <w:lvlText w:val="%1.%2.%3.%4.%5.%6.%7"/>
      <w:lvlJc w:val="left"/>
      <w:pPr>
        <w:ind w:left="1800" w:hanging="1440"/>
      </w:pPr>
    </w:lvl>
    <w:lvl w:ilvl="7" w:tentative="0">
      <w:start w:val="1"/>
      <w:numFmt w:val="decimal"/>
      <w:isLgl/>
      <w:lvlText w:val="%1.%2.%3.%4.%5.%6.%7.%8"/>
      <w:lvlJc w:val="left"/>
      <w:pPr>
        <w:ind w:left="1800" w:hanging="1440"/>
      </w:pPr>
    </w:lvl>
    <w:lvl w:ilvl="8" w:tentative="0">
      <w:start w:val="1"/>
      <w:numFmt w:val="decimal"/>
      <w:isLgl/>
      <w:lvlText w:val="%1.%2.%3.%4.%5.%6.%7.%8.%9"/>
      <w:lvlJc w:val="left"/>
      <w:pPr>
        <w:ind w:left="1800" w:hanging="1440"/>
      </w:pPr>
    </w:lvl>
  </w:abstractNum>
  <w:abstractNum w:abstractNumId="6">
    <w:nsid w:val="4ADD36DD"/>
    <w:multiLevelType w:val="multilevel"/>
    <w:tmpl w:val="4ADD36DD"/>
    <w:lvl w:ilvl="0" w:tentative="0">
      <w:start w:val="2"/>
      <w:numFmt w:val="decimal"/>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5833DAA"/>
    <w:multiLevelType w:val="multilevel"/>
    <w:tmpl w:val="55833DAA"/>
    <w:lvl w:ilvl="0" w:tentative="0">
      <w:start w:val="10"/>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5FF57B7A"/>
    <w:multiLevelType w:val="multilevel"/>
    <w:tmpl w:val="5FF57B7A"/>
    <w:lvl w:ilvl="0" w:tentative="0">
      <w:start w:val="1"/>
      <w:numFmt w:val="lowerLetter"/>
      <w:lvlText w:val="(%1)"/>
      <w:lvlJc w:val="left"/>
      <w:pPr>
        <w:tabs>
          <w:tab w:val="left" w:pos="822"/>
        </w:tabs>
        <w:ind w:left="822" w:hanging="390"/>
      </w:pPr>
    </w:lvl>
    <w:lvl w:ilvl="1" w:tentative="0">
      <w:start w:val="1"/>
      <w:numFmt w:val="decimal"/>
      <w:lvlText w:val="%15.%2"/>
      <w:lvlJc w:val="left"/>
      <w:pPr>
        <w:tabs>
          <w:tab w:val="left" w:pos="504"/>
        </w:tabs>
        <w:ind w:left="504" w:hanging="504"/>
      </w:pPr>
      <w:rPr>
        <w:rFonts w:hint="default" w:ascii="Times New Roman" w:hAnsi="Times New Roman" w:cs="Times New Roman"/>
        <w:b w:val="0"/>
        <w:i w:val="0"/>
        <w:sz w:val="24"/>
      </w:rPr>
    </w:lvl>
    <w:lvl w:ilvl="2" w:tentative="0">
      <w:start w:val="1"/>
      <w:numFmt w:val="lowerLetter"/>
      <w:lvlText w:val="(%3)"/>
      <w:lvlJc w:val="left"/>
      <w:pPr>
        <w:tabs>
          <w:tab w:val="left" w:pos="864"/>
        </w:tabs>
        <w:ind w:left="864" w:hanging="432"/>
      </w:pPr>
      <w:rPr>
        <w:rFonts w:hint="default" w:ascii="Times New Roman" w:hAnsi="Times New Roman" w:cs="Times New Roman"/>
        <w:b w:val="0"/>
        <w:i w:val="0"/>
        <w:sz w:val="24"/>
      </w:rPr>
    </w:lvl>
    <w:lvl w:ilvl="3" w:tentative="0">
      <w:start w:val="1"/>
      <w:numFmt w:val="lowerRoman"/>
      <w:lvlText w:val="(%4)"/>
      <w:lvlJc w:val="left"/>
      <w:pPr>
        <w:tabs>
          <w:tab w:val="left" w:pos="1216"/>
        </w:tabs>
        <w:ind w:left="1216" w:hanging="648"/>
      </w:pPr>
      <w:rPr>
        <w:rFonts w:hint="default" w:ascii="Times New Roman" w:hAnsi="Times New Roman" w:cs="Times New Roman"/>
        <w:b w:val="0"/>
        <w:i w:val="0"/>
        <w:sz w:val="24"/>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9">
    <w:nsid w:val="63F9134E"/>
    <w:multiLevelType w:val="multilevel"/>
    <w:tmpl w:val="63F9134E"/>
    <w:lvl w:ilvl="0" w:tentative="0">
      <w:start w:val="3"/>
      <w:numFmt w:val="none"/>
      <w:isLgl/>
      <w:lvlText w:val="35."/>
      <w:lvlJc w:val="left"/>
      <w:pPr>
        <w:tabs>
          <w:tab w:val="left" w:pos="432"/>
        </w:tabs>
        <w:ind w:left="432" w:hanging="432"/>
      </w:pPr>
      <w:rPr>
        <w:b/>
        <w:i w:val="0"/>
        <w:sz w:val="24"/>
      </w:rPr>
    </w:lvl>
    <w:lvl w:ilvl="1" w:tentative="0">
      <w:start w:val="1"/>
      <w:numFmt w:val="decimal"/>
      <w:lvlText w:val="%135.%2"/>
      <w:lvlJc w:val="left"/>
      <w:pPr>
        <w:tabs>
          <w:tab w:val="left" w:pos="605"/>
        </w:tabs>
        <w:ind w:left="605" w:hanging="605"/>
      </w:pPr>
      <w:rPr>
        <w:rFonts w:hint="default" w:ascii="Times New Roman" w:hAnsi="Times New Roman" w:cs="Times New Roman"/>
        <w:b w:val="0"/>
        <w:i w:val="0"/>
        <w:sz w:val="24"/>
      </w:rPr>
    </w:lvl>
    <w:lvl w:ilvl="2" w:tentative="0">
      <w:start w:val="1"/>
      <w:numFmt w:val="lowerLetter"/>
      <w:lvlText w:val="(%3)"/>
      <w:lvlJc w:val="left"/>
      <w:pPr>
        <w:tabs>
          <w:tab w:val="left" w:pos="1152"/>
        </w:tabs>
        <w:ind w:left="1152" w:hanging="576"/>
      </w:pPr>
      <w:rPr>
        <w:rFonts w:hint="default" w:ascii="Times New Roman" w:hAnsi="Times New Roman" w:cs="Times New Roman"/>
        <w:b w:val="0"/>
        <w:i w:val="0"/>
        <w:sz w:val="24"/>
      </w:rPr>
    </w:lvl>
    <w:lvl w:ilvl="3" w:tentative="0">
      <w:start w:val="1"/>
      <w:numFmt w:val="lowerRoman"/>
      <w:lvlText w:val="(%4)"/>
      <w:lvlJc w:val="left"/>
      <w:pPr>
        <w:tabs>
          <w:tab w:val="left" w:pos="1901"/>
        </w:tabs>
        <w:ind w:left="1440" w:hanging="259"/>
      </w:pPr>
      <w:rPr>
        <w:rFonts w:hint="default" w:ascii="Times New Roman" w:hAnsi="Times New Roman" w:cs="Times New Roman"/>
        <w:b w:val="0"/>
        <w:i w:val="0"/>
        <w:sz w:val="24"/>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0">
    <w:nsid w:val="672A7BBB"/>
    <w:multiLevelType w:val="multilevel"/>
    <w:tmpl w:val="672A7BBB"/>
    <w:lvl w:ilvl="0" w:tentative="0">
      <w:start w:val="3"/>
      <w:numFmt w:val="none"/>
      <w:isLgl/>
      <w:lvlText w:val="35."/>
      <w:lvlJc w:val="left"/>
      <w:pPr>
        <w:tabs>
          <w:tab w:val="left" w:pos="432"/>
        </w:tabs>
        <w:ind w:left="432" w:hanging="432"/>
      </w:pPr>
      <w:rPr>
        <w:b/>
        <w:i w:val="0"/>
        <w:sz w:val="24"/>
      </w:rPr>
    </w:lvl>
    <w:lvl w:ilvl="1" w:tentative="0">
      <w:start w:val="1"/>
      <w:numFmt w:val="decimal"/>
      <w:lvlText w:val="%135.%2"/>
      <w:lvlJc w:val="left"/>
      <w:pPr>
        <w:tabs>
          <w:tab w:val="left" w:pos="605"/>
        </w:tabs>
        <w:ind w:left="605" w:hanging="605"/>
      </w:pPr>
      <w:rPr>
        <w:rFonts w:hint="default" w:ascii="Times New Roman" w:hAnsi="Times New Roman" w:cs="Times New Roman"/>
        <w:b w:val="0"/>
        <w:i w:val="0"/>
        <w:sz w:val="24"/>
      </w:rPr>
    </w:lvl>
    <w:lvl w:ilvl="2" w:tentative="0">
      <w:start w:val="1"/>
      <w:numFmt w:val="lowerLetter"/>
      <w:lvlText w:val="(%3)"/>
      <w:lvlJc w:val="left"/>
      <w:pPr>
        <w:tabs>
          <w:tab w:val="left" w:pos="1152"/>
        </w:tabs>
        <w:ind w:left="1152" w:hanging="576"/>
      </w:pPr>
      <w:rPr>
        <w:rFonts w:hint="default" w:ascii="Times New Roman" w:hAnsi="Times New Roman" w:cs="Times New Roman"/>
        <w:b w:val="0"/>
        <w:i w:val="0"/>
        <w:sz w:val="24"/>
      </w:rPr>
    </w:lvl>
    <w:lvl w:ilvl="3" w:tentative="0">
      <w:start w:val="1"/>
      <w:numFmt w:val="lowerRoman"/>
      <w:lvlText w:val="(%4)"/>
      <w:lvlJc w:val="left"/>
      <w:pPr>
        <w:tabs>
          <w:tab w:val="left" w:pos="1901"/>
        </w:tabs>
        <w:ind w:left="1440" w:hanging="259"/>
      </w:pPr>
      <w:rPr>
        <w:rFonts w:hint="default" w:ascii="Times New Roman" w:hAnsi="Times New Roman" w:cs="Times New Roman"/>
        <w:b w:val="0"/>
        <w:i w:val="0"/>
        <w:sz w:val="24"/>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1">
    <w:nsid w:val="746519C0"/>
    <w:multiLevelType w:val="multilevel"/>
    <w:tmpl w:val="746519C0"/>
    <w:lvl w:ilvl="0" w:tentative="0">
      <w:start w:val="11"/>
      <w:numFmt w:val="decimal"/>
      <w:lvlText w:val="%1."/>
      <w:lvlJc w:val="left"/>
      <w:pPr>
        <w:ind w:left="720" w:hanging="360"/>
      </w:pPr>
      <w:rPr>
        <w:rFonts w:hint="default"/>
        <w:u w:val="singl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DE769E0"/>
    <w:multiLevelType w:val="multilevel"/>
    <w:tmpl w:val="7DE769E0"/>
    <w:lvl w:ilvl="0" w:tentative="0">
      <w:start w:val="1"/>
      <w:numFmt w:val="decimal"/>
      <w:lvlText w:val="%1."/>
      <w:lvlJc w:val="left"/>
      <w:pPr>
        <w:tabs>
          <w:tab w:val="left" w:pos="360"/>
        </w:tabs>
        <w:ind w:left="360" w:hanging="360"/>
      </w:pPr>
      <w:rPr>
        <w:rFonts w:hint="default"/>
        <w:b w:val="0"/>
        <w:lang w:val="ru-RU"/>
      </w:rPr>
    </w:lvl>
    <w:lvl w:ilvl="1" w:tentative="0">
      <w:start w:val="1"/>
      <w:numFmt w:val="lowerLetter"/>
      <w:lvlText w:val="%2."/>
      <w:lvlJc w:val="left"/>
      <w:pPr>
        <w:tabs>
          <w:tab w:val="left" w:pos="1080"/>
        </w:tabs>
        <w:ind w:left="1080" w:hanging="360"/>
      </w:pPr>
    </w:lvl>
    <w:lvl w:ilvl="2" w:tentative="0">
      <w:start w:val="1"/>
      <w:numFmt w:val="lowerLetter"/>
      <w:lvlText w:val="%3)"/>
      <w:lvlJc w:val="left"/>
      <w:pPr>
        <w:tabs>
          <w:tab w:val="left" w:pos="1980"/>
        </w:tabs>
        <w:ind w:left="1980" w:hanging="360"/>
      </w:pPr>
      <w:rPr>
        <w:rFonts w:hint="default"/>
        <w:b/>
      </w:rPr>
    </w:lvl>
    <w:lvl w:ilvl="3" w:tentative="0">
      <w:start w:val="1"/>
      <w:numFmt w:val="bullet"/>
      <w:lvlText w:val=""/>
      <w:lvlJc w:val="left"/>
      <w:pPr>
        <w:tabs>
          <w:tab w:val="left" w:pos="2520"/>
        </w:tabs>
        <w:ind w:left="2520" w:hanging="360"/>
      </w:pPr>
      <w:rPr>
        <w:rFonts w:hint="default" w:ascii="Wingdings" w:hAnsi="Wingdings"/>
        <w:b w:val="0"/>
      </w:r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rPr>
        <w:rFonts w:hint="default"/>
        <w:b w:val="0"/>
      </w:r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num w:numId="1">
    <w:abstractNumId w:val="0"/>
  </w:num>
  <w:num w:numId="2">
    <w:abstractNumId w:val="12"/>
  </w:num>
  <w:num w:numId="3">
    <w:abstractNumId w:val="1"/>
  </w:num>
  <w:num w:numId="4">
    <w:abstractNumId w:val="4"/>
    <w:lvlOverride w:ilvl="2">
      <w:startOverride w:val="1"/>
    </w:lvlOverride>
    <w:lvlOverride w:ilvl="3">
      <w:startOverride w:val="1"/>
    </w:lvlOverride>
    <w:lvlOverride w:ilvl="4">
      <w:startOverride w:val="1"/>
    </w:lvlOverride>
    <w:lvlOverride w:ilvl="5">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20"/>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04E"/>
    <w:rsid w:val="0000235C"/>
    <w:rsid w:val="0000545D"/>
    <w:rsid w:val="000135AF"/>
    <w:rsid w:val="00014D1F"/>
    <w:rsid w:val="0002012F"/>
    <w:rsid w:val="00026411"/>
    <w:rsid w:val="000301BD"/>
    <w:rsid w:val="00030600"/>
    <w:rsid w:val="00032D71"/>
    <w:rsid w:val="000338B3"/>
    <w:rsid w:val="00036DCE"/>
    <w:rsid w:val="000405D4"/>
    <w:rsid w:val="00040892"/>
    <w:rsid w:val="00040F16"/>
    <w:rsid w:val="00040FF8"/>
    <w:rsid w:val="00044310"/>
    <w:rsid w:val="0004617F"/>
    <w:rsid w:val="00046BAF"/>
    <w:rsid w:val="00046DAE"/>
    <w:rsid w:val="00050675"/>
    <w:rsid w:val="000506DD"/>
    <w:rsid w:val="00050B7C"/>
    <w:rsid w:val="000522F4"/>
    <w:rsid w:val="000531AB"/>
    <w:rsid w:val="00053B82"/>
    <w:rsid w:val="000551C6"/>
    <w:rsid w:val="000555FF"/>
    <w:rsid w:val="0005593D"/>
    <w:rsid w:val="000574D0"/>
    <w:rsid w:val="0006104C"/>
    <w:rsid w:val="00063365"/>
    <w:rsid w:val="000646A7"/>
    <w:rsid w:val="00064E9C"/>
    <w:rsid w:val="000659B7"/>
    <w:rsid w:val="0006725A"/>
    <w:rsid w:val="00070B4A"/>
    <w:rsid w:val="00070B86"/>
    <w:rsid w:val="00072D25"/>
    <w:rsid w:val="000730A1"/>
    <w:rsid w:val="0007527B"/>
    <w:rsid w:val="00076450"/>
    <w:rsid w:val="00083D8E"/>
    <w:rsid w:val="00083E27"/>
    <w:rsid w:val="00087AC5"/>
    <w:rsid w:val="00093F17"/>
    <w:rsid w:val="00094ABB"/>
    <w:rsid w:val="000963DF"/>
    <w:rsid w:val="0009760C"/>
    <w:rsid w:val="000A0826"/>
    <w:rsid w:val="000A16EA"/>
    <w:rsid w:val="000A4253"/>
    <w:rsid w:val="000A5298"/>
    <w:rsid w:val="000A68E4"/>
    <w:rsid w:val="000A701F"/>
    <w:rsid w:val="000B2126"/>
    <w:rsid w:val="000B21C0"/>
    <w:rsid w:val="000B3BCE"/>
    <w:rsid w:val="000B45BB"/>
    <w:rsid w:val="000B4A39"/>
    <w:rsid w:val="000B6257"/>
    <w:rsid w:val="000B6836"/>
    <w:rsid w:val="000B6E80"/>
    <w:rsid w:val="000C469A"/>
    <w:rsid w:val="000C7927"/>
    <w:rsid w:val="000D2AA2"/>
    <w:rsid w:val="000D52BC"/>
    <w:rsid w:val="000D7916"/>
    <w:rsid w:val="000D7C4E"/>
    <w:rsid w:val="000E1C15"/>
    <w:rsid w:val="000E2ACC"/>
    <w:rsid w:val="000E3D06"/>
    <w:rsid w:val="000E4D75"/>
    <w:rsid w:val="000E7DCB"/>
    <w:rsid w:val="000F1406"/>
    <w:rsid w:val="000F16D1"/>
    <w:rsid w:val="000F2F0A"/>
    <w:rsid w:val="000F457D"/>
    <w:rsid w:val="000F6BB8"/>
    <w:rsid w:val="000F70F4"/>
    <w:rsid w:val="000F716F"/>
    <w:rsid w:val="000F7534"/>
    <w:rsid w:val="000F7CC7"/>
    <w:rsid w:val="000F7FDB"/>
    <w:rsid w:val="001026B9"/>
    <w:rsid w:val="00106355"/>
    <w:rsid w:val="00106DE4"/>
    <w:rsid w:val="00107C06"/>
    <w:rsid w:val="00107DA8"/>
    <w:rsid w:val="00111214"/>
    <w:rsid w:val="00112E66"/>
    <w:rsid w:val="00113227"/>
    <w:rsid w:val="00113DEB"/>
    <w:rsid w:val="00115844"/>
    <w:rsid w:val="00116F47"/>
    <w:rsid w:val="00116FB6"/>
    <w:rsid w:val="00117698"/>
    <w:rsid w:val="001208DC"/>
    <w:rsid w:val="00127EC7"/>
    <w:rsid w:val="0013073E"/>
    <w:rsid w:val="001349B5"/>
    <w:rsid w:val="00134FD4"/>
    <w:rsid w:val="00135C8F"/>
    <w:rsid w:val="00137A38"/>
    <w:rsid w:val="0014278D"/>
    <w:rsid w:val="00142B1E"/>
    <w:rsid w:val="00142BB0"/>
    <w:rsid w:val="00143DF9"/>
    <w:rsid w:val="0014520B"/>
    <w:rsid w:val="00145F36"/>
    <w:rsid w:val="0014647F"/>
    <w:rsid w:val="00146BE2"/>
    <w:rsid w:val="00147AA4"/>
    <w:rsid w:val="00147B27"/>
    <w:rsid w:val="0015005D"/>
    <w:rsid w:val="00150FED"/>
    <w:rsid w:val="001526F2"/>
    <w:rsid w:val="00153D9E"/>
    <w:rsid w:val="001544A2"/>
    <w:rsid w:val="00155FEC"/>
    <w:rsid w:val="00156FB2"/>
    <w:rsid w:val="00157756"/>
    <w:rsid w:val="00157E5B"/>
    <w:rsid w:val="001606F3"/>
    <w:rsid w:val="001626E3"/>
    <w:rsid w:val="00162BA6"/>
    <w:rsid w:val="00165DA9"/>
    <w:rsid w:val="00166D14"/>
    <w:rsid w:val="00167C73"/>
    <w:rsid w:val="001701D1"/>
    <w:rsid w:val="001752C1"/>
    <w:rsid w:val="00175531"/>
    <w:rsid w:val="00182DC8"/>
    <w:rsid w:val="00185BE1"/>
    <w:rsid w:val="001903F9"/>
    <w:rsid w:val="0019082F"/>
    <w:rsid w:val="00191E31"/>
    <w:rsid w:val="0019319C"/>
    <w:rsid w:val="00194384"/>
    <w:rsid w:val="00194D65"/>
    <w:rsid w:val="001959E7"/>
    <w:rsid w:val="00196D76"/>
    <w:rsid w:val="00197364"/>
    <w:rsid w:val="001973C4"/>
    <w:rsid w:val="0019788D"/>
    <w:rsid w:val="001A01AF"/>
    <w:rsid w:val="001A03EE"/>
    <w:rsid w:val="001A633B"/>
    <w:rsid w:val="001A64E9"/>
    <w:rsid w:val="001A6EDD"/>
    <w:rsid w:val="001A70E0"/>
    <w:rsid w:val="001A7525"/>
    <w:rsid w:val="001B1E7F"/>
    <w:rsid w:val="001B25ED"/>
    <w:rsid w:val="001B5242"/>
    <w:rsid w:val="001B53EB"/>
    <w:rsid w:val="001B6642"/>
    <w:rsid w:val="001C1995"/>
    <w:rsid w:val="001C2544"/>
    <w:rsid w:val="001C260A"/>
    <w:rsid w:val="001C265E"/>
    <w:rsid w:val="001C29BB"/>
    <w:rsid w:val="001D0912"/>
    <w:rsid w:val="001D0932"/>
    <w:rsid w:val="001D1769"/>
    <w:rsid w:val="001D2DAC"/>
    <w:rsid w:val="001D4AF4"/>
    <w:rsid w:val="001E46A3"/>
    <w:rsid w:val="001E503B"/>
    <w:rsid w:val="001E7058"/>
    <w:rsid w:val="001F14CA"/>
    <w:rsid w:val="001F2308"/>
    <w:rsid w:val="001F383B"/>
    <w:rsid w:val="001F6643"/>
    <w:rsid w:val="001F753B"/>
    <w:rsid w:val="00201065"/>
    <w:rsid w:val="002011D4"/>
    <w:rsid w:val="00201D44"/>
    <w:rsid w:val="00202232"/>
    <w:rsid w:val="002022FE"/>
    <w:rsid w:val="002044C9"/>
    <w:rsid w:val="002045C9"/>
    <w:rsid w:val="00205A6D"/>
    <w:rsid w:val="00205F65"/>
    <w:rsid w:val="00210D6E"/>
    <w:rsid w:val="00210F1E"/>
    <w:rsid w:val="00211DB2"/>
    <w:rsid w:val="00213924"/>
    <w:rsid w:val="00214633"/>
    <w:rsid w:val="0021463F"/>
    <w:rsid w:val="002230E1"/>
    <w:rsid w:val="00226B32"/>
    <w:rsid w:val="002344BE"/>
    <w:rsid w:val="00234536"/>
    <w:rsid w:val="0023492F"/>
    <w:rsid w:val="002358C1"/>
    <w:rsid w:val="00236AA2"/>
    <w:rsid w:val="00237F85"/>
    <w:rsid w:val="0024320E"/>
    <w:rsid w:val="00245698"/>
    <w:rsid w:val="002554EF"/>
    <w:rsid w:val="002557C1"/>
    <w:rsid w:val="002558D5"/>
    <w:rsid w:val="00255D9D"/>
    <w:rsid w:val="002574CF"/>
    <w:rsid w:val="00257749"/>
    <w:rsid w:val="00270254"/>
    <w:rsid w:val="00271015"/>
    <w:rsid w:val="00271BB6"/>
    <w:rsid w:val="00271DEB"/>
    <w:rsid w:val="00272312"/>
    <w:rsid w:val="002726B5"/>
    <w:rsid w:val="00272765"/>
    <w:rsid w:val="00272E0B"/>
    <w:rsid w:val="00273767"/>
    <w:rsid w:val="00276A8D"/>
    <w:rsid w:val="002803EF"/>
    <w:rsid w:val="00282826"/>
    <w:rsid w:val="0028288E"/>
    <w:rsid w:val="002855EA"/>
    <w:rsid w:val="002856F3"/>
    <w:rsid w:val="00287A9C"/>
    <w:rsid w:val="00287D8B"/>
    <w:rsid w:val="0029078B"/>
    <w:rsid w:val="00290D6D"/>
    <w:rsid w:val="002913AE"/>
    <w:rsid w:val="00293356"/>
    <w:rsid w:val="00293442"/>
    <w:rsid w:val="002938BF"/>
    <w:rsid w:val="00294F38"/>
    <w:rsid w:val="002A14EE"/>
    <w:rsid w:val="002A1F59"/>
    <w:rsid w:val="002A217B"/>
    <w:rsid w:val="002A2E3E"/>
    <w:rsid w:val="002A30DC"/>
    <w:rsid w:val="002B008E"/>
    <w:rsid w:val="002B06AF"/>
    <w:rsid w:val="002B5808"/>
    <w:rsid w:val="002B5874"/>
    <w:rsid w:val="002C030A"/>
    <w:rsid w:val="002C049A"/>
    <w:rsid w:val="002C1E6F"/>
    <w:rsid w:val="002C3110"/>
    <w:rsid w:val="002C3D27"/>
    <w:rsid w:val="002C4BB4"/>
    <w:rsid w:val="002C550C"/>
    <w:rsid w:val="002C6361"/>
    <w:rsid w:val="002D0049"/>
    <w:rsid w:val="002D154F"/>
    <w:rsid w:val="002D4FC0"/>
    <w:rsid w:val="002D6D89"/>
    <w:rsid w:val="002D73AE"/>
    <w:rsid w:val="002E0513"/>
    <w:rsid w:val="002E1BB4"/>
    <w:rsid w:val="002F001D"/>
    <w:rsid w:val="002F245E"/>
    <w:rsid w:val="002F2FE2"/>
    <w:rsid w:val="002F5212"/>
    <w:rsid w:val="002F540B"/>
    <w:rsid w:val="002F578E"/>
    <w:rsid w:val="002F7165"/>
    <w:rsid w:val="00300FA7"/>
    <w:rsid w:val="0030247B"/>
    <w:rsid w:val="00302F01"/>
    <w:rsid w:val="00303ED6"/>
    <w:rsid w:val="00312D1F"/>
    <w:rsid w:val="00317305"/>
    <w:rsid w:val="0031768C"/>
    <w:rsid w:val="00321A71"/>
    <w:rsid w:val="00325AC7"/>
    <w:rsid w:val="00325F81"/>
    <w:rsid w:val="00327F1A"/>
    <w:rsid w:val="003304BA"/>
    <w:rsid w:val="0033083A"/>
    <w:rsid w:val="00330854"/>
    <w:rsid w:val="003359D2"/>
    <w:rsid w:val="003364AF"/>
    <w:rsid w:val="00336A4F"/>
    <w:rsid w:val="0033783C"/>
    <w:rsid w:val="00341FCE"/>
    <w:rsid w:val="00342D51"/>
    <w:rsid w:val="00345C87"/>
    <w:rsid w:val="00346D29"/>
    <w:rsid w:val="003478A2"/>
    <w:rsid w:val="00350900"/>
    <w:rsid w:val="00350FB6"/>
    <w:rsid w:val="003551E8"/>
    <w:rsid w:val="00356F21"/>
    <w:rsid w:val="00357CBC"/>
    <w:rsid w:val="003602E1"/>
    <w:rsid w:val="003617D6"/>
    <w:rsid w:val="00373384"/>
    <w:rsid w:val="00373600"/>
    <w:rsid w:val="00373CD3"/>
    <w:rsid w:val="003828EA"/>
    <w:rsid w:val="00384099"/>
    <w:rsid w:val="00387EED"/>
    <w:rsid w:val="0039131B"/>
    <w:rsid w:val="00391DA9"/>
    <w:rsid w:val="00392AE1"/>
    <w:rsid w:val="00393775"/>
    <w:rsid w:val="00393A03"/>
    <w:rsid w:val="00394506"/>
    <w:rsid w:val="00395360"/>
    <w:rsid w:val="00395834"/>
    <w:rsid w:val="003A3BD1"/>
    <w:rsid w:val="003A3E01"/>
    <w:rsid w:val="003A460C"/>
    <w:rsid w:val="003A4B3B"/>
    <w:rsid w:val="003A61DB"/>
    <w:rsid w:val="003A6578"/>
    <w:rsid w:val="003B08FB"/>
    <w:rsid w:val="003B11CE"/>
    <w:rsid w:val="003B46C2"/>
    <w:rsid w:val="003B50E6"/>
    <w:rsid w:val="003B6075"/>
    <w:rsid w:val="003C1C5D"/>
    <w:rsid w:val="003D1B22"/>
    <w:rsid w:val="003D3CC6"/>
    <w:rsid w:val="003D4614"/>
    <w:rsid w:val="003D5026"/>
    <w:rsid w:val="003D5A2B"/>
    <w:rsid w:val="003D5EDC"/>
    <w:rsid w:val="003D62A7"/>
    <w:rsid w:val="003D7414"/>
    <w:rsid w:val="003D7944"/>
    <w:rsid w:val="003E06CB"/>
    <w:rsid w:val="003E0968"/>
    <w:rsid w:val="003E14AF"/>
    <w:rsid w:val="003E162D"/>
    <w:rsid w:val="003E53F6"/>
    <w:rsid w:val="003E6B87"/>
    <w:rsid w:val="003F08D4"/>
    <w:rsid w:val="00400BA7"/>
    <w:rsid w:val="00401067"/>
    <w:rsid w:val="0040153E"/>
    <w:rsid w:val="00401A82"/>
    <w:rsid w:val="00401B74"/>
    <w:rsid w:val="00404285"/>
    <w:rsid w:val="00404D86"/>
    <w:rsid w:val="0040591A"/>
    <w:rsid w:val="00407921"/>
    <w:rsid w:val="00407B39"/>
    <w:rsid w:val="00410468"/>
    <w:rsid w:val="004159D3"/>
    <w:rsid w:val="00417292"/>
    <w:rsid w:val="004209A3"/>
    <w:rsid w:val="00420E3D"/>
    <w:rsid w:val="00421E53"/>
    <w:rsid w:val="00430BF4"/>
    <w:rsid w:val="00431385"/>
    <w:rsid w:val="00431740"/>
    <w:rsid w:val="00432CA8"/>
    <w:rsid w:val="00433306"/>
    <w:rsid w:val="00435835"/>
    <w:rsid w:val="00436A5A"/>
    <w:rsid w:val="00440F90"/>
    <w:rsid w:val="0044123B"/>
    <w:rsid w:val="00442119"/>
    <w:rsid w:val="00442EE1"/>
    <w:rsid w:val="004437CA"/>
    <w:rsid w:val="004459E9"/>
    <w:rsid w:val="00445B99"/>
    <w:rsid w:val="00453E6E"/>
    <w:rsid w:val="00454771"/>
    <w:rsid w:val="004547E2"/>
    <w:rsid w:val="00455288"/>
    <w:rsid w:val="00457A7D"/>
    <w:rsid w:val="00460722"/>
    <w:rsid w:val="004611D4"/>
    <w:rsid w:val="00461E43"/>
    <w:rsid w:val="004622C3"/>
    <w:rsid w:val="00462C90"/>
    <w:rsid w:val="0046308C"/>
    <w:rsid w:val="00463CA5"/>
    <w:rsid w:val="00464611"/>
    <w:rsid w:val="00464F79"/>
    <w:rsid w:val="004650AC"/>
    <w:rsid w:val="00465F28"/>
    <w:rsid w:val="004667AE"/>
    <w:rsid w:val="0047014F"/>
    <w:rsid w:val="004704C0"/>
    <w:rsid w:val="004714CC"/>
    <w:rsid w:val="004719F9"/>
    <w:rsid w:val="004748BA"/>
    <w:rsid w:val="00475FBB"/>
    <w:rsid w:val="004775F2"/>
    <w:rsid w:val="004778B7"/>
    <w:rsid w:val="00480C1A"/>
    <w:rsid w:val="00481F31"/>
    <w:rsid w:val="00483EA3"/>
    <w:rsid w:val="00485547"/>
    <w:rsid w:val="00490109"/>
    <w:rsid w:val="00490A3E"/>
    <w:rsid w:val="00491F31"/>
    <w:rsid w:val="00495A5C"/>
    <w:rsid w:val="00497243"/>
    <w:rsid w:val="00497A32"/>
    <w:rsid w:val="00497C91"/>
    <w:rsid w:val="004A3823"/>
    <w:rsid w:val="004A38AF"/>
    <w:rsid w:val="004A4AF7"/>
    <w:rsid w:val="004A610E"/>
    <w:rsid w:val="004A7785"/>
    <w:rsid w:val="004A7F58"/>
    <w:rsid w:val="004B04F1"/>
    <w:rsid w:val="004B1A98"/>
    <w:rsid w:val="004B35BA"/>
    <w:rsid w:val="004B3A7B"/>
    <w:rsid w:val="004B3E6E"/>
    <w:rsid w:val="004B5AEE"/>
    <w:rsid w:val="004B60D0"/>
    <w:rsid w:val="004C3F18"/>
    <w:rsid w:val="004C5330"/>
    <w:rsid w:val="004C71BF"/>
    <w:rsid w:val="004C7979"/>
    <w:rsid w:val="004D2D78"/>
    <w:rsid w:val="004D3BEE"/>
    <w:rsid w:val="004D5006"/>
    <w:rsid w:val="004D520E"/>
    <w:rsid w:val="004D5B10"/>
    <w:rsid w:val="004D657B"/>
    <w:rsid w:val="004E068F"/>
    <w:rsid w:val="004E28E9"/>
    <w:rsid w:val="004E44ED"/>
    <w:rsid w:val="004E71C0"/>
    <w:rsid w:val="004E7B66"/>
    <w:rsid w:val="004F3884"/>
    <w:rsid w:val="004F3C13"/>
    <w:rsid w:val="004F4C0E"/>
    <w:rsid w:val="004F5035"/>
    <w:rsid w:val="004F5D50"/>
    <w:rsid w:val="004F69DC"/>
    <w:rsid w:val="00502245"/>
    <w:rsid w:val="0050412F"/>
    <w:rsid w:val="00504EEE"/>
    <w:rsid w:val="00511F33"/>
    <w:rsid w:val="005130BD"/>
    <w:rsid w:val="005143FC"/>
    <w:rsid w:val="00515C58"/>
    <w:rsid w:val="00515DA7"/>
    <w:rsid w:val="00520D70"/>
    <w:rsid w:val="00522802"/>
    <w:rsid w:val="00522E60"/>
    <w:rsid w:val="005230DA"/>
    <w:rsid w:val="00523217"/>
    <w:rsid w:val="005247FB"/>
    <w:rsid w:val="00525B5C"/>
    <w:rsid w:val="00527ADF"/>
    <w:rsid w:val="00531D1B"/>
    <w:rsid w:val="005334E8"/>
    <w:rsid w:val="00533772"/>
    <w:rsid w:val="00534B09"/>
    <w:rsid w:val="00535902"/>
    <w:rsid w:val="00535D36"/>
    <w:rsid w:val="005364F4"/>
    <w:rsid w:val="0053651A"/>
    <w:rsid w:val="00541611"/>
    <w:rsid w:val="00544A7B"/>
    <w:rsid w:val="0054561A"/>
    <w:rsid w:val="00547D7C"/>
    <w:rsid w:val="005504F4"/>
    <w:rsid w:val="00551F1F"/>
    <w:rsid w:val="00552625"/>
    <w:rsid w:val="005527A8"/>
    <w:rsid w:val="00553730"/>
    <w:rsid w:val="005547F0"/>
    <w:rsid w:val="00554A0A"/>
    <w:rsid w:val="00555DEB"/>
    <w:rsid w:val="00557211"/>
    <w:rsid w:val="00557C49"/>
    <w:rsid w:val="00560BF8"/>
    <w:rsid w:val="00561EDE"/>
    <w:rsid w:val="00565001"/>
    <w:rsid w:val="00566120"/>
    <w:rsid w:val="005677A7"/>
    <w:rsid w:val="00570603"/>
    <w:rsid w:val="00572F11"/>
    <w:rsid w:val="0057317C"/>
    <w:rsid w:val="00577B58"/>
    <w:rsid w:val="00577BAB"/>
    <w:rsid w:val="0058187E"/>
    <w:rsid w:val="00582746"/>
    <w:rsid w:val="00583CF8"/>
    <w:rsid w:val="00584D40"/>
    <w:rsid w:val="0058774F"/>
    <w:rsid w:val="00592D93"/>
    <w:rsid w:val="00595044"/>
    <w:rsid w:val="00596D09"/>
    <w:rsid w:val="00596E44"/>
    <w:rsid w:val="00597141"/>
    <w:rsid w:val="00597B43"/>
    <w:rsid w:val="005A6348"/>
    <w:rsid w:val="005A6398"/>
    <w:rsid w:val="005A6A88"/>
    <w:rsid w:val="005B1C70"/>
    <w:rsid w:val="005B20D3"/>
    <w:rsid w:val="005B3F2B"/>
    <w:rsid w:val="005B4DF9"/>
    <w:rsid w:val="005B5AB7"/>
    <w:rsid w:val="005B5FB0"/>
    <w:rsid w:val="005B6A54"/>
    <w:rsid w:val="005B6EB9"/>
    <w:rsid w:val="005B7BC2"/>
    <w:rsid w:val="005C0562"/>
    <w:rsid w:val="005C177A"/>
    <w:rsid w:val="005C4684"/>
    <w:rsid w:val="005D004E"/>
    <w:rsid w:val="005D0CFB"/>
    <w:rsid w:val="005D2F8F"/>
    <w:rsid w:val="005E678F"/>
    <w:rsid w:val="005F058E"/>
    <w:rsid w:val="005F0791"/>
    <w:rsid w:val="005F404F"/>
    <w:rsid w:val="005F5AA0"/>
    <w:rsid w:val="005F76A6"/>
    <w:rsid w:val="005F7DFE"/>
    <w:rsid w:val="0060130C"/>
    <w:rsid w:val="00603CFD"/>
    <w:rsid w:val="00607559"/>
    <w:rsid w:val="00610327"/>
    <w:rsid w:val="00611704"/>
    <w:rsid w:val="00611A6E"/>
    <w:rsid w:val="00612033"/>
    <w:rsid w:val="006120E1"/>
    <w:rsid w:val="00613297"/>
    <w:rsid w:val="006139DB"/>
    <w:rsid w:val="00615B69"/>
    <w:rsid w:val="00616CF5"/>
    <w:rsid w:val="00617554"/>
    <w:rsid w:val="0061763B"/>
    <w:rsid w:val="00617905"/>
    <w:rsid w:val="00617EC6"/>
    <w:rsid w:val="00622237"/>
    <w:rsid w:val="0062583D"/>
    <w:rsid w:val="006265EF"/>
    <w:rsid w:val="006310F8"/>
    <w:rsid w:val="00636295"/>
    <w:rsid w:val="00640441"/>
    <w:rsid w:val="00640621"/>
    <w:rsid w:val="00641F7D"/>
    <w:rsid w:val="00643097"/>
    <w:rsid w:val="00643325"/>
    <w:rsid w:val="0064367A"/>
    <w:rsid w:val="0064403B"/>
    <w:rsid w:val="0064745C"/>
    <w:rsid w:val="00651D81"/>
    <w:rsid w:val="006546E4"/>
    <w:rsid w:val="00654FDD"/>
    <w:rsid w:val="00654FFC"/>
    <w:rsid w:val="00657663"/>
    <w:rsid w:val="00657695"/>
    <w:rsid w:val="00657BFE"/>
    <w:rsid w:val="00660612"/>
    <w:rsid w:val="00661F65"/>
    <w:rsid w:val="00666E5A"/>
    <w:rsid w:val="00666F37"/>
    <w:rsid w:val="00672E9E"/>
    <w:rsid w:val="00675AC3"/>
    <w:rsid w:val="00676939"/>
    <w:rsid w:val="00676980"/>
    <w:rsid w:val="00676999"/>
    <w:rsid w:val="006771E8"/>
    <w:rsid w:val="0068459B"/>
    <w:rsid w:val="0068770D"/>
    <w:rsid w:val="006878A6"/>
    <w:rsid w:val="00690FA5"/>
    <w:rsid w:val="006A0047"/>
    <w:rsid w:val="006A0467"/>
    <w:rsid w:val="006A0986"/>
    <w:rsid w:val="006A28F0"/>
    <w:rsid w:val="006A433E"/>
    <w:rsid w:val="006A71CC"/>
    <w:rsid w:val="006A7489"/>
    <w:rsid w:val="006B08BC"/>
    <w:rsid w:val="006B2297"/>
    <w:rsid w:val="006B2FE7"/>
    <w:rsid w:val="006B65AD"/>
    <w:rsid w:val="006C1297"/>
    <w:rsid w:val="006C266F"/>
    <w:rsid w:val="006C40B4"/>
    <w:rsid w:val="006C45C1"/>
    <w:rsid w:val="006C5B57"/>
    <w:rsid w:val="006D495C"/>
    <w:rsid w:val="006D579D"/>
    <w:rsid w:val="006D74CA"/>
    <w:rsid w:val="006E0A72"/>
    <w:rsid w:val="006E21AD"/>
    <w:rsid w:val="006E31BD"/>
    <w:rsid w:val="006E3D4D"/>
    <w:rsid w:val="006E4735"/>
    <w:rsid w:val="006E4CF0"/>
    <w:rsid w:val="006E54BD"/>
    <w:rsid w:val="006E5F78"/>
    <w:rsid w:val="006E6512"/>
    <w:rsid w:val="006E65A7"/>
    <w:rsid w:val="006E77E3"/>
    <w:rsid w:val="006F056E"/>
    <w:rsid w:val="006F108D"/>
    <w:rsid w:val="006F35C3"/>
    <w:rsid w:val="006F39CA"/>
    <w:rsid w:val="006F610E"/>
    <w:rsid w:val="006F720E"/>
    <w:rsid w:val="0070321F"/>
    <w:rsid w:val="00705489"/>
    <w:rsid w:val="00707B68"/>
    <w:rsid w:val="00707F3B"/>
    <w:rsid w:val="00713220"/>
    <w:rsid w:val="00713CAD"/>
    <w:rsid w:val="00714061"/>
    <w:rsid w:val="00716849"/>
    <w:rsid w:val="00717E83"/>
    <w:rsid w:val="007209AB"/>
    <w:rsid w:val="007226D2"/>
    <w:rsid w:val="00722873"/>
    <w:rsid w:val="007249B5"/>
    <w:rsid w:val="007304DE"/>
    <w:rsid w:val="007370CF"/>
    <w:rsid w:val="00742FF6"/>
    <w:rsid w:val="00743724"/>
    <w:rsid w:val="00746821"/>
    <w:rsid w:val="007476FF"/>
    <w:rsid w:val="00751E41"/>
    <w:rsid w:val="00756626"/>
    <w:rsid w:val="00756974"/>
    <w:rsid w:val="00761DD7"/>
    <w:rsid w:val="007652AE"/>
    <w:rsid w:val="00765BD4"/>
    <w:rsid w:val="00766DFF"/>
    <w:rsid w:val="00767876"/>
    <w:rsid w:val="00770F8E"/>
    <w:rsid w:val="00771083"/>
    <w:rsid w:val="007743B5"/>
    <w:rsid w:val="00775688"/>
    <w:rsid w:val="00775C9E"/>
    <w:rsid w:val="0077618A"/>
    <w:rsid w:val="007772EA"/>
    <w:rsid w:val="0077781E"/>
    <w:rsid w:val="00781713"/>
    <w:rsid w:val="00782822"/>
    <w:rsid w:val="007831EE"/>
    <w:rsid w:val="00790CF1"/>
    <w:rsid w:val="00792A1D"/>
    <w:rsid w:val="00793E7D"/>
    <w:rsid w:val="007965BF"/>
    <w:rsid w:val="00796EF5"/>
    <w:rsid w:val="007A2CB8"/>
    <w:rsid w:val="007A5469"/>
    <w:rsid w:val="007A603B"/>
    <w:rsid w:val="007B03FA"/>
    <w:rsid w:val="007B15DA"/>
    <w:rsid w:val="007B1B91"/>
    <w:rsid w:val="007B1CBD"/>
    <w:rsid w:val="007B57B8"/>
    <w:rsid w:val="007C04A2"/>
    <w:rsid w:val="007C285E"/>
    <w:rsid w:val="007C350D"/>
    <w:rsid w:val="007C79DE"/>
    <w:rsid w:val="007D054A"/>
    <w:rsid w:val="007D1F20"/>
    <w:rsid w:val="007D27E8"/>
    <w:rsid w:val="007D36E9"/>
    <w:rsid w:val="007D3759"/>
    <w:rsid w:val="007D4436"/>
    <w:rsid w:val="007D476B"/>
    <w:rsid w:val="007D75EE"/>
    <w:rsid w:val="007E2366"/>
    <w:rsid w:val="007E3662"/>
    <w:rsid w:val="007E5712"/>
    <w:rsid w:val="007E61B4"/>
    <w:rsid w:val="007F0097"/>
    <w:rsid w:val="007F3188"/>
    <w:rsid w:val="007F531F"/>
    <w:rsid w:val="007F57AB"/>
    <w:rsid w:val="00801115"/>
    <w:rsid w:val="00804433"/>
    <w:rsid w:val="0080443D"/>
    <w:rsid w:val="008066E5"/>
    <w:rsid w:val="008102B3"/>
    <w:rsid w:val="00811EFA"/>
    <w:rsid w:val="008155C1"/>
    <w:rsid w:val="008159CE"/>
    <w:rsid w:val="008224AD"/>
    <w:rsid w:val="00823B44"/>
    <w:rsid w:val="00823F4E"/>
    <w:rsid w:val="008241E8"/>
    <w:rsid w:val="00825643"/>
    <w:rsid w:val="00825ADB"/>
    <w:rsid w:val="00827E3E"/>
    <w:rsid w:val="00831A44"/>
    <w:rsid w:val="008323AD"/>
    <w:rsid w:val="00835762"/>
    <w:rsid w:val="00840130"/>
    <w:rsid w:val="0084064C"/>
    <w:rsid w:val="00840C76"/>
    <w:rsid w:val="00842E5E"/>
    <w:rsid w:val="008459A0"/>
    <w:rsid w:val="008467A8"/>
    <w:rsid w:val="0084681A"/>
    <w:rsid w:val="00847A5C"/>
    <w:rsid w:val="008502DF"/>
    <w:rsid w:val="00850579"/>
    <w:rsid w:val="00853718"/>
    <w:rsid w:val="008547FD"/>
    <w:rsid w:val="008573D4"/>
    <w:rsid w:val="00862F42"/>
    <w:rsid w:val="0086498B"/>
    <w:rsid w:val="00864EBE"/>
    <w:rsid w:val="00867A21"/>
    <w:rsid w:val="00875559"/>
    <w:rsid w:val="008776C6"/>
    <w:rsid w:val="00880ABC"/>
    <w:rsid w:val="00882949"/>
    <w:rsid w:val="0088309D"/>
    <w:rsid w:val="00884736"/>
    <w:rsid w:val="00884FF3"/>
    <w:rsid w:val="0088552A"/>
    <w:rsid w:val="00886C29"/>
    <w:rsid w:val="00886FDE"/>
    <w:rsid w:val="00887632"/>
    <w:rsid w:val="00890088"/>
    <w:rsid w:val="008907D8"/>
    <w:rsid w:val="0089112B"/>
    <w:rsid w:val="00894060"/>
    <w:rsid w:val="008944EC"/>
    <w:rsid w:val="00894D7F"/>
    <w:rsid w:val="00895B9F"/>
    <w:rsid w:val="0089726F"/>
    <w:rsid w:val="00897592"/>
    <w:rsid w:val="008A2910"/>
    <w:rsid w:val="008A32EB"/>
    <w:rsid w:val="008A5447"/>
    <w:rsid w:val="008B20BA"/>
    <w:rsid w:val="008B2699"/>
    <w:rsid w:val="008B32E2"/>
    <w:rsid w:val="008B42C0"/>
    <w:rsid w:val="008B4CA8"/>
    <w:rsid w:val="008B588A"/>
    <w:rsid w:val="008B6A92"/>
    <w:rsid w:val="008B7093"/>
    <w:rsid w:val="008B7C6C"/>
    <w:rsid w:val="008C1FAB"/>
    <w:rsid w:val="008C3AD0"/>
    <w:rsid w:val="008C6D17"/>
    <w:rsid w:val="008D1796"/>
    <w:rsid w:val="008D181D"/>
    <w:rsid w:val="008D656A"/>
    <w:rsid w:val="008D6B3A"/>
    <w:rsid w:val="008E4035"/>
    <w:rsid w:val="008E47D3"/>
    <w:rsid w:val="008E59BE"/>
    <w:rsid w:val="008E72E5"/>
    <w:rsid w:val="008E796D"/>
    <w:rsid w:val="008E7F00"/>
    <w:rsid w:val="008F0078"/>
    <w:rsid w:val="008F0A9E"/>
    <w:rsid w:val="008F363E"/>
    <w:rsid w:val="008F4E89"/>
    <w:rsid w:val="008F58B4"/>
    <w:rsid w:val="0090081C"/>
    <w:rsid w:val="0090346C"/>
    <w:rsid w:val="00906FFA"/>
    <w:rsid w:val="00907281"/>
    <w:rsid w:val="0090729D"/>
    <w:rsid w:val="009076B3"/>
    <w:rsid w:val="00911C31"/>
    <w:rsid w:val="0091448C"/>
    <w:rsid w:val="00915D81"/>
    <w:rsid w:val="00920BBE"/>
    <w:rsid w:val="0092533F"/>
    <w:rsid w:val="00930CBB"/>
    <w:rsid w:val="00931705"/>
    <w:rsid w:val="00934B44"/>
    <w:rsid w:val="00944238"/>
    <w:rsid w:val="009447B7"/>
    <w:rsid w:val="009457AB"/>
    <w:rsid w:val="00945EF0"/>
    <w:rsid w:val="00946D7D"/>
    <w:rsid w:val="009470F3"/>
    <w:rsid w:val="00952F24"/>
    <w:rsid w:val="00953BF6"/>
    <w:rsid w:val="00954731"/>
    <w:rsid w:val="009556DF"/>
    <w:rsid w:val="00955C94"/>
    <w:rsid w:val="00960F17"/>
    <w:rsid w:val="00961592"/>
    <w:rsid w:val="0096691C"/>
    <w:rsid w:val="00970032"/>
    <w:rsid w:val="0097004A"/>
    <w:rsid w:val="00971FE2"/>
    <w:rsid w:val="00972789"/>
    <w:rsid w:val="00973D07"/>
    <w:rsid w:val="009740E8"/>
    <w:rsid w:val="009758BA"/>
    <w:rsid w:val="00975950"/>
    <w:rsid w:val="009762DA"/>
    <w:rsid w:val="00976D60"/>
    <w:rsid w:val="00977190"/>
    <w:rsid w:val="0098275E"/>
    <w:rsid w:val="0098325E"/>
    <w:rsid w:val="00986AE1"/>
    <w:rsid w:val="0098725D"/>
    <w:rsid w:val="009874EB"/>
    <w:rsid w:val="00987B72"/>
    <w:rsid w:val="00987FAA"/>
    <w:rsid w:val="00990FC7"/>
    <w:rsid w:val="009920E2"/>
    <w:rsid w:val="009951E4"/>
    <w:rsid w:val="00997B3C"/>
    <w:rsid w:val="009A1743"/>
    <w:rsid w:val="009A27BF"/>
    <w:rsid w:val="009B163B"/>
    <w:rsid w:val="009B238B"/>
    <w:rsid w:val="009B2EB6"/>
    <w:rsid w:val="009B4E01"/>
    <w:rsid w:val="009B7027"/>
    <w:rsid w:val="009C102F"/>
    <w:rsid w:val="009C15C5"/>
    <w:rsid w:val="009C18A5"/>
    <w:rsid w:val="009C21C1"/>
    <w:rsid w:val="009C35B7"/>
    <w:rsid w:val="009C3805"/>
    <w:rsid w:val="009C5305"/>
    <w:rsid w:val="009C5D46"/>
    <w:rsid w:val="009C6590"/>
    <w:rsid w:val="009C668E"/>
    <w:rsid w:val="009C6B51"/>
    <w:rsid w:val="009C71E5"/>
    <w:rsid w:val="009D00D6"/>
    <w:rsid w:val="009D181B"/>
    <w:rsid w:val="009D26E7"/>
    <w:rsid w:val="009D5EFE"/>
    <w:rsid w:val="009D70CC"/>
    <w:rsid w:val="009E25F8"/>
    <w:rsid w:val="009E56DE"/>
    <w:rsid w:val="009E5BF2"/>
    <w:rsid w:val="009E5DC7"/>
    <w:rsid w:val="009E5E25"/>
    <w:rsid w:val="009E70A4"/>
    <w:rsid w:val="009E7DCE"/>
    <w:rsid w:val="009F652F"/>
    <w:rsid w:val="00A15173"/>
    <w:rsid w:val="00A16DCC"/>
    <w:rsid w:val="00A178BE"/>
    <w:rsid w:val="00A23522"/>
    <w:rsid w:val="00A24A5C"/>
    <w:rsid w:val="00A27774"/>
    <w:rsid w:val="00A33305"/>
    <w:rsid w:val="00A33D57"/>
    <w:rsid w:val="00A35DB4"/>
    <w:rsid w:val="00A3618B"/>
    <w:rsid w:val="00A368BA"/>
    <w:rsid w:val="00A4139B"/>
    <w:rsid w:val="00A41D19"/>
    <w:rsid w:val="00A4461B"/>
    <w:rsid w:val="00A44E3A"/>
    <w:rsid w:val="00A45844"/>
    <w:rsid w:val="00A511BE"/>
    <w:rsid w:val="00A5178F"/>
    <w:rsid w:val="00A518A9"/>
    <w:rsid w:val="00A51E42"/>
    <w:rsid w:val="00A5456C"/>
    <w:rsid w:val="00A547D1"/>
    <w:rsid w:val="00A54A56"/>
    <w:rsid w:val="00A57127"/>
    <w:rsid w:val="00A5758E"/>
    <w:rsid w:val="00A611CD"/>
    <w:rsid w:val="00A61C00"/>
    <w:rsid w:val="00A623F4"/>
    <w:rsid w:val="00A630FE"/>
    <w:rsid w:val="00A64531"/>
    <w:rsid w:val="00A67F1B"/>
    <w:rsid w:val="00A70B76"/>
    <w:rsid w:val="00A71F0D"/>
    <w:rsid w:val="00A765EE"/>
    <w:rsid w:val="00A77A08"/>
    <w:rsid w:val="00A805B7"/>
    <w:rsid w:val="00A80946"/>
    <w:rsid w:val="00A809A1"/>
    <w:rsid w:val="00A81653"/>
    <w:rsid w:val="00A86C14"/>
    <w:rsid w:val="00A87833"/>
    <w:rsid w:val="00A878DD"/>
    <w:rsid w:val="00A90ED7"/>
    <w:rsid w:val="00A928AE"/>
    <w:rsid w:val="00A97D79"/>
    <w:rsid w:val="00AA0CC9"/>
    <w:rsid w:val="00AA31D4"/>
    <w:rsid w:val="00AA3252"/>
    <w:rsid w:val="00AA45DC"/>
    <w:rsid w:val="00AB02E1"/>
    <w:rsid w:val="00AB58D3"/>
    <w:rsid w:val="00AB6596"/>
    <w:rsid w:val="00AB70CF"/>
    <w:rsid w:val="00AB7B0F"/>
    <w:rsid w:val="00AC21AC"/>
    <w:rsid w:val="00AC31FB"/>
    <w:rsid w:val="00AD07AC"/>
    <w:rsid w:val="00AD252D"/>
    <w:rsid w:val="00AD3838"/>
    <w:rsid w:val="00AD3EBF"/>
    <w:rsid w:val="00AD59C7"/>
    <w:rsid w:val="00AD5F4E"/>
    <w:rsid w:val="00AE32AE"/>
    <w:rsid w:val="00AE5091"/>
    <w:rsid w:val="00AF1745"/>
    <w:rsid w:val="00AF45AE"/>
    <w:rsid w:val="00B0022A"/>
    <w:rsid w:val="00B027DD"/>
    <w:rsid w:val="00B04872"/>
    <w:rsid w:val="00B073B1"/>
    <w:rsid w:val="00B115D0"/>
    <w:rsid w:val="00B11B24"/>
    <w:rsid w:val="00B12F00"/>
    <w:rsid w:val="00B17B9B"/>
    <w:rsid w:val="00B2160B"/>
    <w:rsid w:val="00B22205"/>
    <w:rsid w:val="00B235B7"/>
    <w:rsid w:val="00B235D1"/>
    <w:rsid w:val="00B244D7"/>
    <w:rsid w:val="00B30717"/>
    <w:rsid w:val="00B368B0"/>
    <w:rsid w:val="00B36DFF"/>
    <w:rsid w:val="00B36E25"/>
    <w:rsid w:val="00B370BE"/>
    <w:rsid w:val="00B4192B"/>
    <w:rsid w:val="00B4491B"/>
    <w:rsid w:val="00B455CB"/>
    <w:rsid w:val="00B47544"/>
    <w:rsid w:val="00B52343"/>
    <w:rsid w:val="00B53391"/>
    <w:rsid w:val="00B54017"/>
    <w:rsid w:val="00B56690"/>
    <w:rsid w:val="00B60D41"/>
    <w:rsid w:val="00B61AB0"/>
    <w:rsid w:val="00B63229"/>
    <w:rsid w:val="00B65AED"/>
    <w:rsid w:val="00B67C5C"/>
    <w:rsid w:val="00B708A4"/>
    <w:rsid w:val="00B72418"/>
    <w:rsid w:val="00B733EE"/>
    <w:rsid w:val="00B748D5"/>
    <w:rsid w:val="00B75114"/>
    <w:rsid w:val="00B77B9E"/>
    <w:rsid w:val="00B803E4"/>
    <w:rsid w:val="00B82307"/>
    <w:rsid w:val="00B87857"/>
    <w:rsid w:val="00B87945"/>
    <w:rsid w:val="00B90E70"/>
    <w:rsid w:val="00B91E7C"/>
    <w:rsid w:val="00B92AC1"/>
    <w:rsid w:val="00B9305B"/>
    <w:rsid w:val="00B931C7"/>
    <w:rsid w:val="00B94620"/>
    <w:rsid w:val="00B94AF6"/>
    <w:rsid w:val="00B94EB4"/>
    <w:rsid w:val="00B954D7"/>
    <w:rsid w:val="00B96694"/>
    <w:rsid w:val="00B977C9"/>
    <w:rsid w:val="00B97C69"/>
    <w:rsid w:val="00BA1CCD"/>
    <w:rsid w:val="00BA2142"/>
    <w:rsid w:val="00BA35A7"/>
    <w:rsid w:val="00BA5D95"/>
    <w:rsid w:val="00BB1CBF"/>
    <w:rsid w:val="00BB5F13"/>
    <w:rsid w:val="00BB6FF5"/>
    <w:rsid w:val="00BB7013"/>
    <w:rsid w:val="00BC0ABD"/>
    <w:rsid w:val="00BC4004"/>
    <w:rsid w:val="00BC5567"/>
    <w:rsid w:val="00BC7641"/>
    <w:rsid w:val="00BC7B95"/>
    <w:rsid w:val="00BD0D6B"/>
    <w:rsid w:val="00BD1FB1"/>
    <w:rsid w:val="00BD2F9E"/>
    <w:rsid w:val="00BD34BE"/>
    <w:rsid w:val="00BD35B4"/>
    <w:rsid w:val="00BD44D7"/>
    <w:rsid w:val="00BD6C38"/>
    <w:rsid w:val="00BD7125"/>
    <w:rsid w:val="00BE5EAA"/>
    <w:rsid w:val="00BE7BE8"/>
    <w:rsid w:val="00BF0CDE"/>
    <w:rsid w:val="00BF2679"/>
    <w:rsid w:val="00BF3C5C"/>
    <w:rsid w:val="00BF6185"/>
    <w:rsid w:val="00BF6929"/>
    <w:rsid w:val="00BF6D73"/>
    <w:rsid w:val="00BF73D1"/>
    <w:rsid w:val="00C00771"/>
    <w:rsid w:val="00C01275"/>
    <w:rsid w:val="00C01456"/>
    <w:rsid w:val="00C02063"/>
    <w:rsid w:val="00C026EE"/>
    <w:rsid w:val="00C07243"/>
    <w:rsid w:val="00C0744F"/>
    <w:rsid w:val="00C07E9F"/>
    <w:rsid w:val="00C138BE"/>
    <w:rsid w:val="00C15627"/>
    <w:rsid w:val="00C16DA5"/>
    <w:rsid w:val="00C21D27"/>
    <w:rsid w:val="00C21E0D"/>
    <w:rsid w:val="00C224C1"/>
    <w:rsid w:val="00C22886"/>
    <w:rsid w:val="00C2530E"/>
    <w:rsid w:val="00C25922"/>
    <w:rsid w:val="00C26C7B"/>
    <w:rsid w:val="00C30E06"/>
    <w:rsid w:val="00C316CB"/>
    <w:rsid w:val="00C33140"/>
    <w:rsid w:val="00C41797"/>
    <w:rsid w:val="00C41AFF"/>
    <w:rsid w:val="00C45EB6"/>
    <w:rsid w:val="00C46A78"/>
    <w:rsid w:val="00C47C3E"/>
    <w:rsid w:val="00C47F50"/>
    <w:rsid w:val="00C50B57"/>
    <w:rsid w:val="00C557C2"/>
    <w:rsid w:val="00C55EC4"/>
    <w:rsid w:val="00C60248"/>
    <w:rsid w:val="00C60DE1"/>
    <w:rsid w:val="00C63A14"/>
    <w:rsid w:val="00C6433C"/>
    <w:rsid w:val="00C704B7"/>
    <w:rsid w:val="00C70D16"/>
    <w:rsid w:val="00C70D65"/>
    <w:rsid w:val="00C7215D"/>
    <w:rsid w:val="00C7287A"/>
    <w:rsid w:val="00C76559"/>
    <w:rsid w:val="00C80747"/>
    <w:rsid w:val="00C837AB"/>
    <w:rsid w:val="00C8541C"/>
    <w:rsid w:val="00C8662C"/>
    <w:rsid w:val="00C86802"/>
    <w:rsid w:val="00C90450"/>
    <w:rsid w:val="00C90671"/>
    <w:rsid w:val="00C90C54"/>
    <w:rsid w:val="00C92DE4"/>
    <w:rsid w:val="00C9305E"/>
    <w:rsid w:val="00C9361C"/>
    <w:rsid w:val="00C93E2A"/>
    <w:rsid w:val="00C94B9E"/>
    <w:rsid w:val="00C960C0"/>
    <w:rsid w:val="00C96D23"/>
    <w:rsid w:val="00C97455"/>
    <w:rsid w:val="00C9778D"/>
    <w:rsid w:val="00C97877"/>
    <w:rsid w:val="00CA027F"/>
    <w:rsid w:val="00CA1D95"/>
    <w:rsid w:val="00CA58A2"/>
    <w:rsid w:val="00CA5FB8"/>
    <w:rsid w:val="00CA65F2"/>
    <w:rsid w:val="00CA69B2"/>
    <w:rsid w:val="00CA73EC"/>
    <w:rsid w:val="00CA7A8B"/>
    <w:rsid w:val="00CB05C2"/>
    <w:rsid w:val="00CB1B60"/>
    <w:rsid w:val="00CB2C50"/>
    <w:rsid w:val="00CB3C78"/>
    <w:rsid w:val="00CB56D1"/>
    <w:rsid w:val="00CB58CD"/>
    <w:rsid w:val="00CB5EE3"/>
    <w:rsid w:val="00CB5F81"/>
    <w:rsid w:val="00CB76CE"/>
    <w:rsid w:val="00CC0086"/>
    <w:rsid w:val="00CC2539"/>
    <w:rsid w:val="00CC4B81"/>
    <w:rsid w:val="00CD10AE"/>
    <w:rsid w:val="00CD6817"/>
    <w:rsid w:val="00CE036B"/>
    <w:rsid w:val="00CE1A0A"/>
    <w:rsid w:val="00CE296C"/>
    <w:rsid w:val="00CE43A0"/>
    <w:rsid w:val="00CF0A4E"/>
    <w:rsid w:val="00CF1FA7"/>
    <w:rsid w:val="00CF56CD"/>
    <w:rsid w:val="00CF6910"/>
    <w:rsid w:val="00CF7791"/>
    <w:rsid w:val="00D01023"/>
    <w:rsid w:val="00D0139F"/>
    <w:rsid w:val="00D07A01"/>
    <w:rsid w:val="00D07E5C"/>
    <w:rsid w:val="00D101A5"/>
    <w:rsid w:val="00D1099E"/>
    <w:rsid w:val="00D10B7C"/>
    <w:rsid w:val="00D13FC2"/>
    <w:rsid w:val="00D149F6"/>
    <w:rsid w:val="00D2157B"/>
    <w:rsid w:val="00D215A5"/>
    <w:rsid w:val="00D21BF3"/>
    <w:rsid w:val="00D21CAB"/>
    <w:rsid w:val="00D22DE9"/>
    <w:rsid w:val="00D24F70"/>
    <w:rsid w:val="00D253C9"/>
    <w:rsid w:val="00D273C7"/>
    <w:rsid w:val="00D2781F"/>
    <w:rsid w:val="00D30C2A"/>
    <w:rsid w:val="00D37B2A"/>
    <w:rsid w:val="00D42CB4"/>
    <w:rsid w:val="00D42D29"/>
    <w:rsid w:val="00D45456"/>
    <w:rsid w:val="00D519B1"/>
    <w:rsid w:val="00D520E6"/>
    <w:rsid w:val="00D54121"/>
    <w:rsid w:val="00D54EA5"/>
    <w:rsid w:val="00D60534"/>
    <w:rsid w:val="00D618A5"/>
    <w:rsid w:val="00D6295E"/>
    <w:rsid w:val="00D63DEC"/>
    <w:rsid w:val="00D64005"/>
    <w:rsid w:val="00D64E8D"/>
    <w:rsid w:val="00D65EBA"/>
    <w:rsid w:val="00D6681B"/>
    <w:rsid w:val="00D67159"/>
    <w:rsid w:val="00D67D77"/>
    <w:rsid w:val="00D67E19"/>
    <w:rsid w:val="00D71EBE"/>
    <w:rsid w:val="00D7588F"/>
    <w:rsid w:val="00D76A4F"/>
    <w:rsid w:val="00D8047B"/>
    <w:rsid w:val="00D81807"/>
    <w:rsid w:val="00D829B5"/>
    <w:rsid w:val="00D83111"/>
    <w:rsid w:val="00D84EBD"/>
    <w:rsid w:val="00D85B11"/>
    <w:rsid w:val="00D85CE6"/>
    <w:rsid w:val="00D91A37"/>
    <w:rsid w:val="00D927B4"/>
    <w:rsid w:val="00D93CB0"/>
    <w:rsid w:val="00D95432"/>
    <w:rsid w:val="00D95475"/>
    <w:rsid w:val="00D955FA"/>
    <w:rsid w:val="00D968F8"/>
    <w:rsid w:val="00DA165D"/>
    <w:rsid w:val="00DA3515"/>
    <w:rsid w:val="00DA3FF3"/>
    <w:rsid w:val="00DA4CD0"/>
    <w:rsid w:val="00DB12C6"/>
    <w:rsid w:val="00DB1E26"/>
    <w:rsid w:val="00DB274A"/>
    <w:rsid w:val="00DB4515"/>
    <w:rsid w:val="00DC064A"/>
    <w:rsid w:val="00DC68C4"/>
    <w:rsid w:val="00DD04CD"/>
    <w:rsid w:val="00DD0832"/>
    <w:rsid w:val="00DD59F0"/>
    <w:rsid w:val="00DD62BD"/>
    <w:rsid w:val="00DD69E7"/>
    <w:rsid w:val="00DE40E2"/>
    <w:rsid w:val="00DE559A"/>
    <w:rsid w:val="00DF0E41"/>
    <w:rsid w:val="00DF34D2"/>
    <w:rsid w:val="00DF4F37"/>
    <w:rsid w:val="00DF4F6E"/>
    <w:rsid w:val="00DF696F"/>
    <w:rsid w:val="00E0090F"/>
    <w:rsid w:val="00E00C72"/>
    <w:rsid w:val="00E047D3"/>
    <w:rsid w:val="00E04E58"/>
    <w:rsid w:val="00E063DF"/>
    <w:rsid w:val="00E077FE"/>
    <w:rsid w:val="00E1102A"/>
    <w:rsid w:val="00E112B7"/>
    <w:rsid w:val="00E151D0"/>
    <w:rsid w:val="00E16C23"/>
    <w:rsid w:val="00E20E98"/>
    <w:rsid w:val="00E23567"/>
    <w:rsid w:val="00E245CE"/>
    <w:rsid w:val="00E2518D"/>
    <w:rsid w:val="00E3062A"/>
    <w:rsid w:val="00E31E0E"/>
    <w:rsid w:val="00E31EE7"/>
    <w:rsid w:val="00E35B38"/>
    <w:rsid w:val="00E36ED9"/>
    <w:rsid w:val="00E42F4C"/>
    <w:rsid w:val="00E4324E"/>
    <w:rsid w:val="00E459D9"/>
    <w:rsid w:val="00E4721F"/>
    <w:rsid w:val="00E47CCB"/>
    <w:rsid w:val="00E50E08"/>
    <w:rsid w:val="00E50EA5"/>
    <w:rsid w:val="00E524B6"/>
    <w:rsid w:val="00E604F2"/>
    <w:rsid w:val="00E6118F"/>
    <w:rsid w:val="00E63B16"/>
    <w:rsid w:val="00E65272"/>
    <w:rsid w:val="00E6793E"/>
    <w:rsid w:val="00E67A26"/>
    <w:rsid w:val="00E7126B"/>
    <w:rsid w:val="00E73B2C"/>
    <w:rsid w:val="00E73EF6"/>
    <w:rsid w:val="00E742CD"/>
    <w:rsid w:val="00E751D6"/>
    <w:rsid w:val="00E7523D"/>
    <w:rsid w:val="00E8341D"/>
    <w:rsid w:val="00E873BE"/>
    <w:rsid w:val="00E9019B"/>
    <w:rsid w:val="00E91FDA"/>
    <w:rsid w:val="00E94ADC"/>
    <w:rsid w:val="00E97361"/>
    <w:rsid w:val="00E979D8"/>
    <w:rsid w:val="00EA093D"/>
    <w:rsid w:val="00EA176E"/>
    <w:rsid w:val="00EA1CEA"/>
    <w:rsid w:val="00EA227D"/>
    <w:rsid w:val="00EA4473"/>
    <w:rsid w:val="00EA4500"/>
    <w:rsid w:val="00EB060A"/>
    <w:rsid w:val="00EB3611"/>
    <w:rsid w:val="00EB3BA4"/>
    <w:rsid w:val="00EB3ED3"/>
    <w:rsid w:val="00EB63E1"/>
    <w:rsid w:val="00EC4718"/>
    <w:rsid w:val="00EC4E21"/>
    <w:rsid w:val="00EC51D7"/>
    <w:rsid w:val="00EC5429"/>
    <w:rsid w:val="00ED0983"/>
    <w:rsid w:val="00ED4500"/>
    <w:rsid w:val="00ED596D"/>
    <w:rsid w:val="00ED796B"/>
    <w:rsid w:val="00ED7F9D"/>
    <w:rsid w:val="00EE0C0C"/>
    <w:rsid w:val="00EE2C72"/>
    <w:rsid w:val="00EE336B"/>
    <w:rsid w:val="00EE3D4D"/>
    <w:rsid w:val="00EE5C9D"/>
    <w:rsid w:val="00EE6530"/>
    <w:rsid w:val="00EE6A5C"/>
    <w:rsid w:val="00EF0355"/>
    <w:rsid w:val="00EF29BA"/>
    <w:rsid w:val="00EF4319"/>
    <w:rsid w:val="00EF49C4"/>
    <w:rsid w:val="00F02232"/>
    <w:rsid w:val="00F02798"/>
    <w:rsid w:val="00F05511"/>
    <w:rsid w:val="00F062C9"/>
    <w:rsid w:val="00F1305F"/>
    <w:rsid w:val="00F142A9"/>
    <w:rsid w:val="00F17278"/>
    <w:rsid w:val="00F1787F"/>
    <w:rsid w:val="00F17BED"/>
    <w:rsid w:val="00F206F8"/>
    <w:rsid w:val="00F21696"/>
    <w:rsid w:val="00F2198B"/>
    <w:rsid w:val="00F246A5"/>
    <w:rsid w:val="00F24B90"/>
    <w:rsid w:val="00F26BE2"/>
    <w:rsid w:val="00F32F10"/>
    <w:rsid w:val="00F37B2A"/>
    <w:rsid w:val="00F42B6C"/>
    <w:rsid w:val="00F45CDA"/>
    <w:rsid w:val="00F468E1"/>
    <w:rsid w:val="00F5135D"/>
    <w:rsid w:val="00F528F3"/>
    <w:rsid w:val="00F52CE7"/>
    <w:rsid w:val="00F539FB"/>
    <w:rsid w:val="00F560B5"/>
    <w:rsid w:val="00F61036"/>
    <w:rsid w:val="00F62689"/>
    <w:rsid w:val="00F62C2E"/>
    <w:rsid w:val="00F62DE7"/>
    <w:rsid w:val="00F6445A"/>
    <w:rsid w:val="00F65FCD"/>
    <w:rsid w:val="00F66BC5"/>
    <w:rsid w:val="00F711E0"/>
    <w:rsid w:val="00F7511C"/>
    <w:rsid w:val="00F7681A"/>
    <w:rsid w:val="00F7797C"/>
    <w:rsid w:val="00F77F1A"/>
    <w:rsid w:val="00F821B7"/>
    <w:rsid w:val="00F83B76"/>
    <w:rsid w:val="00F84051"/>
    <w:rsid w:val="00F85F48"/>
    <w:rsid w:val="00F921DB"/>
    <w:rsid w:val="00F928B6"/>
    <w:rsid w:val="00F934C6"/>
    <w:rsid w:val="00F9381A"/>
    <w:rsid w:val="00F9450D"/>
    <w:rsid w:val="00F94CC6"/>
    <w:rsid w:val="00F975B1"/>
    <w:rsid w:val="00F9782A"/>
    <w:rsid w:val="00FA26D9"/>
    <w:rsid w:val="00FA44D2"/>
    <w:rsid w:val="00FA6A48"/>
    <w:rsid w:val="00FA6E17"/>
    <w:rsid w:val="00FB12D9"/>
    <w:rsid w:val="00FC286A"/>
    <w:rsid w:val="00FC36CD"/>
    <w:rsid w:val="00FC6C7B"/>
    <w:rsid w:val="00FC70E7"/>
    <w:rsid w:val="00FD14CE"/>
    <w:rsid w:val="00FD37A0"/>
    <w:rsid w:val="00FD3F4E"/>
    <w:rsid w:val="00FD570F"/>
    <w:rsid w:val="00FD77BA"/>
    <w:rsid w:val="00FE3A37"/>
    <w:rsid w:val="00FE4737"/>
    <w:rsid w:val="00FE5402"/>
    <w:rsid w:val="00FE7290"/>
    <w:rsid w:val="00FE7508"/>
    <w:rsid w:val="00FF05B4"/>
    <w:rsid w:val="00FF23D8"/>
    <w:rsid w:val="00FF2A7B"/>
    <w:rsid w:val="00FF2DA0"/>
    <w:rsid w:val="00FF47AA"/>
    <w:rsid w:val="00FF4B98"/>
    <w:rsid w:val="00FF642F"/>
    <w:rsid w:val="00FF6FF2"/>
    <w:rsid w:val="0B367B45"/>
    <w:rsid w:val="0D560F32"/>
    <w:rsid w:val="102E7FDB"/>
    <w:rsid w:val="152D5CB1"/>
    <w:rsid w:val="16515E29"/>
    <w:rsid w:val="2B645622"/>
    <w:rsid w:val="2C8B04B1"/>
    <w:rsid w:val="2F2470D2"/>
    <w:rsid w:val="327F1EE7"/>
    <w:rsid w:val="367317CB"/>
    <w:rsid w:val="3A236702"/>
    <w:rsid w:val="51D22CDF"/>
    <w:rsid w:val="54414E26"/>
    <w:rsid w:val="64B1377E"/>
    <w:rsid w:val="6D7909EA"/>
    <w:rsid w:val="740F7219"/>
    <w:rsid w:val="766579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99"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qFormat="1"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60"/>
    <w:qFormat/>
    <w:uiPriority w:val="0"/>
    <w:pPr>
      <w:keepNext/>
      <w:keepLines/>
      <w:spacing w:before="480"/>
      <w:outlineLvl w:val="0"/>
    </w:pPr>
    <w:rPr>
      <w:rFonts w:asciiTheme="majorHAnsi" w:hAnsiTheme="majorHAnsi" w:eastAsiaTheme="majorEastAsia" w:cstheme="majorBidi"/>
      <w:b/>
      <w:bCs/>
      <w:color w:val="2F5597" w:themeColor="accent1" w:themeShade="BF"/>
      <w:sz w:val="28"/>
      <w:szCs w:val="28"/>
    </w:rPr>
  </w:style>
  <w:style w:type="paragraph" w:styleId="3">
    <w:name w:val="heading 2"/>
    <w:basedOn w:val="1"/>
    <w:next w:val="1"/>
    <w:link w:val="51"/>
    <w:semiHidden/>
    <w:unhideWhenUsed/>
    <w:qFormat/>
    <w:uiPriority w:val="0"/>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9"/>
    <w:unhideWhenUsed/>
    <w:qFormat/>
    <w:uiPriority w:val="9"/>
    <w:pPr>
      <w:keepNext/>
      <w:keepLines/>
      <w:spacing w:before="40"/>
      <w:outlineLvl w:val="2"/>
    </w:pPr>
    <w:rPr>
      <w:rFonts w:asciiTheme="majorHAnsi" w:hAnsiTheme="majorHAnsi" w:eastAsiaTheme="majorEastAsia" w:cstheme="majorBidi"/>
      <w:color w:val="203864" w:themeColor="accent1" w:themeShade="80"/>
    </w:rPr>
  </w:style>
  <w:style w:type="paragraph" w:styleId="5">
    <w:name w:val="heading 4"/>
    <w:basedOn w:val="1"/>
    <w:next w:val="1"/>
    <w:qFormat/>
    <w:uiPriority w:val="0"/>
    <w:pPr>
      <w:keepNext/>
      <w:spacing w:before="240" w:after="60"/>
      <w:outlineLvl w:val="3"/>
    </w:pPr>
    <w:rPr>
      <w:b/>
      <w:bCs/>
      <w:sz w:val="28"/>
      <w:szCs w:val="28"/>
    </w:rPr>
  </w:style>
  <w:style w:type="paragraph" w:styleId="6">
    <w:name w:val="heading 6"/>
    <w:basedOn w:val="1"/>
    <w:next w:val="1"/>
    <w:link w:val="56"/>
    <w:semiHidden/>
    <w:unhideWhenUsed/>
    <w:qFormat/>
    <w:uiPriority w:val="0"/>
    <w:pPr>
      <w:keepNext/>
      <w:keepLines/>
      <w:spacing w:before="40"/>
      <w:outlineLvl w:val="5"/>
    </w:pPr>
    <w:rPr>
      <w:rFonts w:asciiTheme="majorHAnsi" w:hAnsiTheme="majorHAnsi" w:eastAsiaTheme="majorEastAsia" w:cstheme="majorBidi"/>
      <w:color w:val="203864" w:themeColor="accent1" w:themeShade="80"/>
    </w:rPr>
  </w:style>
  <w:style w:type="character" w:default="1" w:styleId="7">
    <w:name w:val="Default Paragraph Font"/>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character" w:styleId="9">
    <w:name w:val="FollowedHyperlink"/>
    <w:basedOn w:val="7"/>
    <w:semiHidden/>
    <w:unhideWhenUsed/>
    <w:qFormat/>
    <w:uiPriority w:val="0"/>
    <w:rPr>
      <w:color w:val="954F72" w:themeColor="followedHyperlink"/>
      <w:u w:val="single"/>
      <w14:textFill>
        <w14:solidFill>
          <w14:schemeClr w14:val="folHlink"/>
        </w14:solidFill>
      </w14:textFill>
    </w:rPr>
  </w:style>
  <w:style w:type="character" w:styleId="10">
    <w:name w:val="footnote reference"/>
    <w:qFormat/>
    <w:uiPriority w:val="99"/>
    <w:rPr>
      <w:vertAlign w:val="superscript"/>
    </w:rPr>
  </w:style>
  <w:style w:type="character" w:styleId="11">
    <w:name w:val="annotation reference"/>
    <w:semiHidden/>
    <w:qFormat/>
    <w:uiPriority w:val="99"/>
    <w:rPr>
      <w:sz w:val="16"/>
      <w:szCs w:val="16"/>
    </w:rPr>
  </w:style>
  <w:style w:type="character" w:styleId="12">
    <w:name w:val="Emphasis"/>
    <w:basedOn w:val="7"/>
    <w:qFormat/>
    <w:uiPriority w:val="0"/>
    <w:rPr>
      <w:i/>
      <w:iCs/>
    </w:rPr>
  </w:style>
  <w:style w:type="character" w:styleId="13">
    <w:name w:val="Hyperlink"/>
    <w:qFormat/>
    <w:uiPriority w:val="0"/>
    <w:rPr>
      <w:color w:val="0000FF"/>
      <w:u w:val="single"/>
    </w:rPr>
  </w:style>
  <w:style w:type="character" w:styleId="14">
    <w:name w:val="page number"/>
    <w:basedOn w:val="7"/>
    <w:qFormat/>
    <w:uiPriority w:val="0"/>
  </w:style>
  <w:style w:type="character" w:styleId="15">
    <w:name w:val="Strong"/>
    <w:basedOn w:val="7"/>
    <w:qFormat/>
    <w:uiPriority w:val="22"/>
    <w:rPr>
      <w:b/>
      <w:bCs/>
    </w:rPr>
  </w:style>
  <w:style w:type="paragraph" w:styleId="16">
    <w:name w:val="Balloon Text"/>
    <w:basedOn w:val="1"/>
    <w:semiHidden/>
    <w:qFormat/>
    <w:uiPriority w:val="0"/>
    <w:rPr>
      <w:rFonts w:ascii="Tahoma" w:hAnsi="Tahoma" w:cs="Tahoma"/>
      <w:sz w:val="16"/>
      <w:szCs w:val="16"/>
    </w:rPr>
  </w:style>
  <w:style w:type="paragraph" w:styleId="17">
    <w:name w:val="Body Text 2"/>
    <w:basedOn w:val="1"/>
    <w:link w:val="53"/>
    <w:qFormat/>
    <w:uiPriority w:val="0"/>
    <w:pPr>
      <w:jc w:val="both"/>
    </w:pPr>
  </w:style>
  <w:style w:type="paragraph" w:styleId="18">
    <w:name w:val="Plain Text"/>
    <w:basedOn w:val="1"/>
    <w:qFormat/>
    <w:uiPriority w:val="0"/>
    <w:rPr>
      <w:rFonts w:ascii="Courier New" w:hAnsi="Courier New"/>
      <w:sz w:val="20"/>
      <w:szCs w:val="20"/>
    </w:rPr>
  </w:style>
  <w:style w:type="paragraph" w:styleId="19">
    <w:name w:val="caption"/>
    <w:basedOn w:val="1"/>
    <w:next w:val="1"/>
    <w:qFormat/>
    <w:uiPriority w:val="0"/>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20">
    <w:name w:val="annotation text"/>
    <w:basedOn w:val="1"/>
    <w:link w:val="42"/>
    <w:qFormat/>
    <w:uiPriority w:val="99"/>
    <w:rPr>
      <w:sz w:val="20"/>
      <w:szCs w:val="20"/>
    </w:rPr>
  </w:style>
  <w:style w:type="paragraph" w:styleId="21">
    <w:name w:val="annotation subject"/>
    <w:basedOn w:val="20"/>
    <w:next w:val="20"/>
    <w:semiHidden/>
    <w:qFormat/>
    <w:uiPriority w:val="0"/>
    <w:rPr>
      <w:b/>
      <w:bCs/>
    </w:rPr>
  </w:style>
  <w:style w:type="paragraph" w:styleId="22">
    <w:name w:val="footnote text"/>
    <w:basedOn w:val="1"/>
    <w:link w:val="43"/>
    <w:qFormat/>
    <w:uiPriority w:val="99"/>
    <w:rPr>
      <w:sz w:val="20"/>
      <w:szCs w:val="20"/>
    </w:rPr>
  </w:style>
  <w:style w:type="paragraph" w:styleId="23">
    <w:name w:val="header"/>
    <w:basedOn w:val="1"/>
    <w:qFormat/>
    <w:uiPriority w:val="0"/>
    <w:pPr>
      <w:pBdr>
        <w:bottom w:val="single" w:color="000000" w:sz="4" w:space="1"/>
      </w:pBdr>
      <w:tabs>
        <w:tab w:val="right" w:pos="9000"/>
      </w:tabs>
      <w:jc w:val="both"/>
    </w:pPr>
    <w:rPr>
      <w:sz w:val="20"/>
      <w:szCs w:val="20"/>
    </w:rPr>
  </w:style>
  <w:style w:type="paragraph" w:styleId="24">
    <w:name w:val="Body Text"/>
    <w:basedOn w:val="1"/>
    <w:link w:val="54"/>
    <w:semiHidden/>
    <w:unhideWhenUsed/>
    <w:qFormat/>
    <w:uiPriority w:val="0"/>
    <w:pPr>
      <w:spacing w:after="120"/>
    </w:pPr>
  </w:style>
  <w:style w:type="paragraph" w:styleId="25">
    <w:name w:val="List Bullet 2"/>
    <w:basedOn w:val="1"/>
    <w:qFormat/>
    <w:uiPriority w:val="99"/>
    <w:pPr>
      <w:numPr>
        <w:ilvl w:val="0"/>
        <w:numId w:val="1"/>
      </w:numPr>
      <w:suppressAutoHyphens/>
      <w:spacing w:before="120" w:after="120" w:line="280" w:lineRule="atLeast"/>
      <w:jc w:val="both"/>
    </w:pPr>
    <w:rPr>
      <w:szCs w:val="20"/>
    </w:rPr>
  </w:style>
  <w:style w:type="paragraph" w:styleId="26">
    <w:name w:val="Title"/>
    <w:basedOn w:val="1"/>
    <w:link w:val="36"/>
    <w:qFormat/>
    <w:uiPriority w:val="0"/>
    <w:pPr>
      <w:jc w:val="center"/>
    </w:pPr>
    <w:rPr>
      <w:b/>
      <w:sz w:val="48"/>
      <w:szCs w:val="20"/>
    </w:rPr>
  </w:style>
  <w:style w:type="paragraph" w:styleId="27">
    <w:name w:val="footer"/>
    <w:basedOn w:val="1"/>
    <w:link w:val="47"/>
    <w:qFormat/>
    <w:uiPriority w:val="99"/>
    <w:pPr>
      <w:tabs>
        <w:tab w:val="center" w:pos="4320"/>
        <w:tab w:val="right" w:pos="8640"/>
      </w:tabs>
    </w:pPr>
  </w:style>
  <w:style w:type="paragraph" w:styleId="28">
    <w:name w:val="Normal (Web)"/>
    <w:basedOn w:val="1"/>
    <w:qFormat/>
    <w:uiPriority w:val="99"/>
    <w:pPr>
      <w:spacing w:before="100" w:after="100"/>
    </w:pPr>
    <w:rPr>
      <w:szCs w:val="20"/>
      <w:lang w:eastAsia="ru-RU"/>
    </w:rPr>
  </w:style>
  <w:style w:type="paragraph" w:styleId="29">
    <w:name w:val="Body Text 3"/>
    <w:basedOn w:val="1"/>
    <w:link w:val="59"/>
    <w:qFormat/>
    <w:uiPriority w:val="0"/>
    <w:pPr>
      <w:spacing w:after="120"/>
    </w:pPr>
    <w:rPr>
      <w:sz w:val="16"/>
      <w:szCs w:val="16"/>
      <w:lang w:val="ru-RU" w:eastAsia="ru-RU"/>
    </w:rPr>
  </w:style>
  <w:style w:type="paragraph" w:styleId="30">
    <w:name w:val="Block Text"/>
    <w:basedOn w:val="1"/>
    <w:qFormat/>
    <w:uiPriority w:val="0"/>
    <w:pPr>
      <w:tabs>
        <w:tab w:val="left" w:pos="1440"/>
        <w:tab w:val="left" w:pos="1800"/>
      </w:tabs>
      <w:suppressAutoHyphens/>
      <w:ind w:left="1080" w:right="-72" w:hanging="540"/>
      <w:jc w:val="both"/>
    </w:pPr>
    <w:rPr>
      <w:szCs w:val="20"/>
    </w:rPr>
  </w:style>
  <w:style w:type="table" w:styleId="31">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TOC Number1"/>
    <w:basedOn w:val="5"/>
    <w:autoRedefine/>
    <w:qFormat/>
    <w:uiPriority w:val="0"/>
    <w:pPr>
      <w:keepLines/>
      <w:spacing w:before="120" w:after="120"/>
      <w:outlineLvl w:val="9"/>
    </w:pPr>
    <w:rPr>
      <w:bCs w:val="0"/>
      <w:sz w:val="24"/>
      <w:szCs w:val="20"/>
    </w:rPr>
  </w:style>
  <w:style w:type="paragraph" w:customStyle="1" w:styleId="33">
    <w:name w:val="BankNormal"/>
    <w:basedOn w:val="1"/>
    <w:qFormat/>
    <w:uiPriority w:val="0"/>
    <w:pPr>
      <w:spacing w:after="240"/>
    </w:pPr>
    <w:rPr>
      <w:szCs w:val="20"/>
    </w:rPr>
  </w:style>
  <w:style w:type="paragraph" w:customStyle="1" w:styleId="34">
    <w:name w:val="Default"/>
    <w:qFormat/>
    <w:uiPriority w:val="0"/>
    <w:pPr>
      <w:autoSpaceDE w:val="0"/>
      <w:autoSpaceDN w:val="0"/>
      <w:adjustRightInd w:val="0"/>
    </w:pPr>
    <w:rPr>
      <w:rFonts w:ascii="Arial" w:hAnsi="Arial" w:eastAsia="Times New Roman" w:cs="Arial"/>
      <w:color w:val="000000"/>
      <w:sz w:val="24"/>
      <w:szCs w:val="24"/>
      <w:lang w:val="en-US" w:eastAsia="en-US" w:bidi="ar-SA"/>
    </w:rPr>
  </w:style>
  <w:style w:type="paragraph" w:customStyle="1" w:styleId="35">
    <w:name w:val="Colorful List - Accent 11"/>
    <w:basedOn w:val="1"/>
    <w:qFormat/>
    <w:uiPriority w:val="34"/>
    <w:pPr>
      <w:ind w:left="720"/>
    </w:pPr>
  </w:style>
  <w:style w:type="character" w:customStyle="1" w:styleId="36">
    <w:name w:val="Заголовок Знак"/>
    <w:link w:val="26"/>
    <w:qFormat/>
    <w:uiPriority w:val="0"/>
    <w:rPr>
      <w:b/>
      <w:sz w:val="48"/>
    </w:rPr>
  </w:style>
  <w:style w:type="character" w:customStyle="1" w:styleId="37">
    <w:name w:val="Unresolved Mention1"/>
    <w:basedOn w:val="7"/>
    <w:qFormat/>
    <w:uiPriority w:val="47"/>
    <w:rPr>
      <w:color w:val="605E5C"/>
      <w:shd w:val="clear" w:color="auto" w:fill="E1DFDD"/>
    </w:rPr>
  </w:style>
  <w:style w:type="paragraph" w:styleId="38">
    <w:name w:val="List Paragraph"/>
    <w:basedOn w:val="1"/>
    <w:link w:val="57"/>
    <w:qFormat/>
    <w:uiPriority w:val="34"/>
    <w:pPr>
      <w:ind w:left="720"/>
    </w:pPr>
  </w:style>
  <w:style w:type="character" w:customStyle="1" w:styleId="39">
    <w:name w:val="Заголовок 3 Знак"/>
    <w:basedOn w:val="7"/>
    <w:link w:val="4"/>
    <w:qFormat/>
    <w:uiPriority w:val="9"/>
    <w:rPr>
      <w:rFonts w:asciiTheme="majorHAnsi" w:hAnsiTheme="majorHAnsi" w:eastAsiaTheme="majorEastAsia" w:cstheme="majorBidi"/>
      <w:color w:val="203864" w:themeColor="accent1" w:themeShade="80"/>
      <w:sz w:val="24"/>
      <w:szCs w:val="24"/>
    </w:rPr>
  </w:style>
  <w:style w:type="paragraph" w:customStyle="1" w:styleId="40">
    <w:name w:val="Head 5.2"/>
    <w:basedOn w:val="1"/>
    <w:qFormat/>
    <w:uiPriority w:val="0"/>
    <w:pPr>
      <w:keepNext/>
      <w:suppressAutoHyphens/>
      <w:spacing w:before="480" w:after="120" w:line="280" w:lineRule="atLeast"/>
      <w:ind w:left="547" w:hanging="547"/>
      <w:jc w:val="center"/>
    </w:pPr>
    <w:rPr>
      <w:b/>
      <w:szCs w:val="20"/>
    </w:rPr>
  </w:style>
  <w:style w:type="paragraph" w:customStyle="1" w:styleId="41">
    <w:name w:val="Section V. Header"/>
    <w:basedOn w:val="1"/>
    <w:qFormat/>
    <w:uiPriority w:val="99"/>
    <w:pPr>
      <w:spacing w:before="120" w:after="120" w:line="280" w:lineRule="atLeast"/>
      <w:jc w:val="center"/>
      <w:outlineLvl w:val="2"/>
    </w:pPr>
    <w:rPr>
      <w:b/>
      <w:sz w:val="36"/>
      <w:szCs w:val="20"/>
    </w:rPr>
  </w:style>
  <w:style w:type="character" w:customStyle="1" w:styleId="42">
    <w:name w:val="Текст примечания Знак"/>
    <w:link w:val="20"/>
    <w:qFormat/>
    <w:uiPriority w:val="99"/>
  </w:style>
  <w:style w:type="character" w:customStyle="1" w:styleId="43">
    <w:name w:val="Текст сноски Знак"/>
    <w:basedOn w:val="7"/>
    <w:link w:val="22"/>
    <w:qFormat/>
    <w:uiPriority w:val="99"/>
  </w:style>
  <w:style w:type="paragraph" w:customStyle="1" w:styleId="44">
    <w:name w:val="Section X Heading"/>
    <w:basedOn w:val="1"/>
    <w:qFormat/>
    <w:uiPriority w:val="0"/>
    <w:pPr>
      <w:spacing w:before="240" w:after="240"/>
      <w:jc w:val="center"/>
    </w:pPr>
    <w:rPr>
      <w:rFonts w:ascii="Times New Roman Bold" w:hAnsi="Times New Roman Bold"/>
      <w:b/>
      <w:sz w:val="36"/>
    </w:rPr>
  </w:style>
  <w:style w:type="paragraph" w:styleId="45">
    <w:name w:val="No Spacing"/>
    <w:qFormat/>
    <w:uiPriority w:val="1"/>
    <w:rPr>
      <w:rFonts w:ascii="Times New Roman" w:hAnsi="Times New Roman" w:eastAsia="Times New Roman" w:cs="Times New Roman"/>
      <w:sz w:val="24"/>
      <w:szCs w:val="24"/>
      <w:lang w:val="en-US" w:eastAsia="en-US" w:bidi="ar-SA"/>
    </w:rPr>
  </w:style>
  <w:style w:type="table" w:customStyle="1" w:styleId="46">
    <w:name w:val="Таблица-сетка 4 — акцент 51"/>
    <w:basedOn w:val="8"/>
    <w:qFormat/>
    <w:uiPriority w:val="49"/>
    <w:rPr>
      <w:rFonts w:asciiTheme="minorHAnsi" w:hAnsiTheme="minorHAnsi" w:eastAsiaTheme="minorHAnsi" w:cstheme="minorBidi"/>
      <w:sz w:val="22"/>
      <w:szCs w:val="22"/>
    </w:r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character" w:customStyle="1" w:styleId="47">
    <w:name w:val="Нижний колонтитул Знак"/>
    <w:basedOn w:val="7"/>
    <w:link w:val="27"/>
    <w:qFormat/>
    <w:uiPriority w:val="99"/>
    <w:rPr>
      <w:sz w:val="24"/>
      <w:szCs w:val="24"/>
    </w:rPr>
  </w:style>
  <w:style w:type="paragraph" w:customStyle="1" w:styleId="48">
    <w:name w:val="Рецензия1"/>
    <w:hidden/>
    <w:semiHidden/>
    <w:qFormat/>
    <w:uiPriority w:val="99"/>
    <w:rPr>
      <w:rFonts w:ascii="Times New Roman" w:hAnsi="Times New Roman" w:eastAsia="Times New Roman" w:cs="Times New Roman"/>
      <w:sz w:val="24"/>
      <w:szCs w:val="24"/>
      <w:lang w:val="en-US" w:eastAsia="en-US" w:bidi="ar-SA"/>
    </w:rPr>
  </w:style>
  <w:style w:type="character" w:customStyle="1" w:styleId="49">
    <w:name w:val="Unresolved Mention2"/>
    <w:basedOn w:val="7"/>
    <w:semiHidden/>
    <w:unhideWhenUsed/>
    <w:qFormat/>
    <w:uiPriority w:val="99"/>
    <w:rPr>
      <w:color w:val="605E5C"/>
      <w:shd w:val="clear" w:color="auto" w:fill="E1DFDD"/>
    </w:rPr>
  </w:style>
  <w:style w:type="character" w:customStyle="1" w:styleId="50">
    <w:name w:val="Неразрешенное упоминание1"/>
    <w:basedOn w:val="7"/>
    <w:semiHidden/>
    <w:unhideWhenUsed/>
    <w:qFormat/>
    <w:uiPriority w:val="99"/>
    <w:rPr>
      <w:color w:val="605E5C"/>
      <w:shd w:val="clear" w:color="auto" w:fill="E1DFDD"/>
    </w:rPr>
  </w:style>
  <w:style w:type="character" w:customStyle="1" w:styleId="51">
    <w:name w:val="Заголовок 2 Знак"/>
    <w:basedOn w:val="7"/>
    <w:link w:val="3"/>
    <w:semiHidden/>
    <w:qFormat/>
    <w:uiPriority w:val="0"/>
    <w:rPr>
      <w:rFonts w:asciiTheme="majorHAnsi" w:hAnsiTheme="majorHAnsi" w:eastAsiaTheme="majorEastAsia" w:cstheme="majorBidi"/>
      <w:color w:val="2F5597" w:themeColor="accent1" w:themeShade="BF"/>
      <w:sz w:val="26"/>
      <w:szCs w:val="26"/>
    </w:rPr>
  </w:style>
  <w:style w:type="table" w:customStyle="1" w:styleId="52">
    <w:name w:val="Таблица-сетка 4 — акцент 11"/>
    <w:basedOn w:val="8"/>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character" w:customStyle="1" w:styleId="53">
    <w:name w:val="Основной текст 2 Знак"/>
    <w:basedOn w:val="7"/>
    <w:link w:val="17"/>
    <w:qFormat/>
    <w:uiPriority w:val="0"/>
    <w:rPr>
      <w:sz w:val="24"/>
      <w:szCs w:val="24"/>
    </w:rPr>
  </w:style>
  <w:style w:type="character" w:customStyle="1" w:styleId="54">
    <w:name w:val="Основной текст Знак"/>
    <w:basedOn w:val="7"/>
    <w:link w:val="24"/>
    <w:semiHidden/>
    <w:qFormat/>
    <w:uiPriority w:val="0"/>
    <w:rPr>
      <w:sz w:val="24"/>
      <w:szCs w:val="24"/>
    </w:rPr>
  </w:style>
  <w:style w:type="paragraph" w:customStyle="1" w:styleId="55">
    <w:name w:val="Sub-Clause Text"/>
    <w:basedOn w:val="1"/>
    <w:qFormat/>
    <w:uiPriority w:val="0"/>
    <w:pPr>
      <w:spacing w:before="120" w:after="120"/>
      <w:jc w:val="both"/>
    </w:pPr>
    <w:rPr>
      <w:spacing w:val="-4"/>
      <w:szCs w:val="20"/>
    </w:rPr>
  </w:style>
  <w:style w:type="character" w:customStyle="1" w:styleId="56">
    <w:name w:val="Заголовок 6 Знак"/>
    <w:basedOn w:val="7"/>
    <w:link w:val="6"/>
    <w:semiHidden/>
    <w:qFormat/>
    <w:uiPriority w:val="0"/>
    <w:rPr>
      <w:rFonts w:asciiTheme="majorHAnsi" w:hAnsiTheme="majorHAnsi" w:eastAsiaTheme="majorEastAsia" w:cstheme="majorBidi"/>
      <w:color w:val="203864" w:themeColor="accent1" w:themeShade="80"/>
      <w:sz w:val="24"/>
      <w:szCs w:val="24"/>
    </w:rPr>
  </w:style>
  <w:style w:type="character" w:customStyle="1" w:styleId="57">
    <w:name w:val="Абзац списка Знак"/>
    <w:link w:val="38"/>
    <w:qFormat/>
    <w:locked/>
    <w:uiPriority w:val="34"/>
    <w:rPr>
      <w:sz w:val="24"/>
      <w:szCs w:val="24"/>
    </w:rPr>
  </w:style>
  <w:style w:type="character" w:customStyle="1" w:styleId="58">
    <w:name w:val="Неразрешенное упоминание2"/>
    <w:basedOn w:val="7"/>
    <w:semiHidden/>
    <w:unhideWhenUsed/>
    <w:qFormat/>
    <w:uiPriority w:val="99"/>
    <w:rPr>
      <w:color w:val="605E5C"/>
      <w:shd w:val="clear" w:color="auto" w:fill="E1DFDD"/>
    </w:rPr>
  </w:style>
  <w:style w:type="character" w:customStyle="1" w:styleId="59">
    <w:name w:val="Основной текст 3 Знак"/>
    <w:basedOn w:val="7"/>
    <w:link w:val="29"/>
    <w:qFormat/>
    <w:uiPriority w:val="0"/>
    <w:rPr>
      <w:sz w:val="16"/>
      <w:szCs w:val="16"/>
      <w:lang w:val="ru-RU" w:eastAsia="ru-RU"/>
    </w:rPr>
  </w:style>
  <w:style w:type="character" w:customStyle="1" w:styleId="60">
    <w:name w:val="Заголовок 1 Знак"/>
    <w:basedOn w:val="7"/>
    <w:link w:val="2"/>
    <w:qFormat/>
    <w:uiPriority w:val="0"/>
    <w:rPr>
      <w:rFonts w:asciiTheme="majorHAnsi" w:hAnsiTheme="majorHAnsi" w:eastAsiaTheme="majorEastAsia" w:cstheme="majorBidi"/>
      <w:b/>
      <w:bCs/>
      <w:color w:val="2F5597" w:themeColor="accent1" w:themeShade="BF"/>
      <w:sz w:val="28"/>
      <w:szCs w:val="28"/>
    </w:rPr>
  </w:style>
  <w:style w:type="character" w:customStyle="1" w:styleId="61">
    <w:name w:val="Неразрешенное упоминание3"/>
    <w:basedOn w:val="7"/>
    <w:semiHidden/>
    <w:unhideWhenUsed/>
    <w:qFormat/>
    <w:uiPriority w:val="99"/>
    <w:rPr>
      <w:color w:val="605E5C"/>
      <w:shd w:val="clear" w:color="auto" w:fill="E1DFDD"/>
    </w:rPr>
  </w:style>
  <w:style w:type="character" w:customStyle="1" w:styleId="62">
    <w:name w:val="dtet0b"/>
    <w:basedOn w:val="7"/>
    <w:qFormat/>
    <w:uiPriority w:val="0"/>
  </w:style>
  <w:style w:type="character" w:customStyle="1" w:styleId="63">
    <w:name w:val="t286pc"/>
    <w:basedOn w:val="7"/>
    <w:qFormat/>
    <w:uiPriority w:val="0"/>
  </w:style>
  <w:style w:type="character" w:customStyle="1" w:styleId="64">
    <w:name w:val="vkekvd"/>
    <w:basedOn w:val="7"/>
    <w:qFormat/>
    <w:uiPriority w:val="0"/>
  </w:style>
  <w:style w:type="character" w:customStyle="1" w:styleId="65">
    <w:name w:val="Неразрешенное упоминание4"/>
    <w:basedOn w:val="7"/>
    <w:semiHidden/>
    <w:unhideWhenUsed/>
    <w:qFormat/>
    <w:uiPriority w:val="99"/>
    <w:rPr>
      <w:color w:val="605E5C"/>
      <w:shd w:val="clear" w:color="auto" w:fill="E1DFDD"/>
    </w:rPr>
  </w:style>
  <w:style w:type="paragraph" w:customStyle="1" w:styleId="66">
    <w:name w:val="Revision"/>
    <w:hidden/>
    <w:unhideWhenUsed/>
    <w:qFormat/>
    <w:uiPriority w:val="99"/>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97FB8A-4B9A-42F0-AB26-6378540B6D27}">
  <ds:schemaRefs/>
</ds:datastoreItem>
</file>

<file path=customXml/itemProps3.xml><?xml version="1.0" encoding="utf-8"?>
<ds:datastoreItem xmlns:ds="http://schemas.openxmlformats.org/officeDocument/2006/customXml" ds:itemID="{8AE24AC7-DBB1-41A0-8329-6CCCD23D9D0E}">
  <ds:schemaRefs/>
</ds:datastoreItem>
</file>

<file path=customXml/itemProps4.xml><?xml version="1.0" encoding="utf-8"?>
<ds:datastoreItem xmlns:ds="http://schemas.openxmlformats.org/officeDocument/2006/customXml" ds:itemID="{1404DE2A-207F-4893-A2C5-34B634FA2CF3}">
  <ds:schemaRefs/>
</ds:datastoreItem>
</file>

<file path=customXml/itemProps5.xml><?xml version="1.0" encoding="utf-8"?>
<ds:datastoreItem xmlns:ds="http://schemas.openxmlformats.org/officeDocument/2006/customXml" ds:itemID="{0E962948-57FF-4A34-8887-2175240043C6}">
  <ds:schemaRefs/>
</ds:datastoreItem>
</file>

<file path=docProps/app.xml><?xml version="1.0" encoding="utf-8"?>
<Properties xmlns="http://schemas.openxmlformats.org/officeDocument/2006/extended-properties" xmlns:vt="http://schemas.openxmlformats.org/officeDocument/2006/docPropsVTypes">
  <Template>Normal</Template>
  <Company>Crown Agents</Company>
  <Pages>17</Pages>
  <Words>4674</Words>
  <Characters>26642</Characters>
  <Lines>222</Lines>
  <Paragraphs>62</Paragraphs>
  <TotalTime>5</TotalTime>
  <ScaleCrop>false</ScaleCrop>
  <LinksUpToDate>false</LinksUpToDate>
  <CharactersWithSpaces>31254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2026-04-21T08:34:00Z</dcterms:created>
  <dc:creator>CAUser</dc:creator>
  <cp:lastModifiedBy>кубаныч самиев</cp:lastModifiedBy>
  <cp:lastPrinted>2025-12-02T09:37:00Z</cp:lastPrinted>
  <dcterms:modified xsi:type="dcterms:W3CDTF">2026-04-21T13:36:24Z</dcterms:modified>
  <dc:title>16th November 2007</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y fmtid="{D5CDD505-2E9C-101B-9397-08002B2CF9AE}" pid="5" name="KSOProductBuildVer">
    <vt:lpwstr>1049-12.2.0.23196</vt:lpwstr>
  </property>
  <property fmtid="{D5CDD505-2E9C-101B-9397-08002B2CF9AE}" pid="6" name="ICV">
    <vt:lpwstr>79A9932C6D5E4F8B897C1D29513302D6_13</vt:lpwstr>
  </property>
</Properties>
</file>