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8B6E" w14:textId="77777777" w:rsidR="00AD40FF" w:rsidRPr="00047C02" w:rsidRDefault="00AD40FF" w:rsidP="00AD40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MINISTRY OF HEALTH OF THE KYRGYZ REPUBLIC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PRIMARY HEALTH CARE QUALITY IMPROVEMENT OPERATION</w:t>
      </w:r>
    </w:p>
    <w:p w14:paraId="1D08E117" w14:textId="77777777" w:rsidR="00AD40FF" w:rsidRPr="00047C02" w:rsidRDefault="00AD40FF" w:rsidP="00AD40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TERMS OF REFERENCE</w:t>
      </w:r>
    </w:p>
    <w:p w14:paraId="78AFF8EF" w14:textId="77777777" w:rsidR="00AD40FF" w:rsidRPr="00047C02" w:rsidRDefault="00AD40FF" w:rsidP="00AD40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OFFICE MANAGER / </w:t>
      </w:r>
      <w:r w:rsidRPr="008E2E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ENGLISH TRANSLATOR</w:t>
      </w:r>
      <w:r w:rsidRPr="008E2EBA" w:rsidDel="008E2E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11EDD0E7" w14:textId="77777777" w:rsidR="00AD40FF" w:rsidRPr="00047C02" w:rsidRDefault="00AD40FF" w:rsidP="00AD40F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ja-JP"/>
        </w:rPr>
      </w:pPr>
    </w:p>
    <w:p w14:paraId="6B73ECEE" w14:textId="77777777" w:rsidR="00AD40FF" w:rsidRPr="00607A84" w:rsidRDefault="00AD40FF" w:rsidP="00AD40FF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47C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07A8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Pr="00047C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GENERAL INFORMATION</w:t>
      </w:r>
    </w:p>
    <w:p w14:paraId="59555D72" w14:textId="77777777" w:rsidR="00AD40FF" w:rsidRPr="004E409F" w:rsidRDefault="00AD40FF" w:rsidP="00AD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40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Ministry of Health of the Kyrgyz Republic is implementing the “Primary Health Care Quality Improvement Operation” funded by the World Bank.</w:t>
      </w:r>
    </w:p>
    <w:p w14:paraId="3AEEC956" w14:textId="77777777" w:rsidR="00AD40FF" w:rsidRPr="00AD40FF" w:rsidRDefault="00AD40FF" w:rsidP="00AD40FF">
      <w:pPr>
        <w:jc w:val="both"/>
        <w:rPr>
          <w:lang w:val="en-US"/>
        </w:rPr>
      </w:pPr>
      <w:r w:rsidRPr="00AD40FF">
        <w:rPr>
          <w:rStyle w:val="a9"/>
          <w:lang w:val="en-US"/>
        </w:rPr>
        <w:t>The Primary Health Care Quality Improvement Operation (hereinafter – PHCQIO) consists of two components.</w:t>
      </w:r>
      <w:r w:rsidRPr="00AD40FF">
        <w:rPr>
          <w:lang w:val="en-US"/>
        </w:rPr>
        <w:t xml:space="preserve"> </w:t>
      </w:r>
      <w:r w:rsidRPr="00AD40FF">
        <w:rPr>
          <w:rStyle w:val="a9"/>
          <w:lang w:val="en-US"/>
        </w:rPr>
        <w:t>Component 1: The PforR Component (Program)</w:t>
      </w:r>
      <w:r w:rsidRPr="00AD40FF">
        <w:rPr>
          <w:lang w:val="en-US"/>
        </w:rPr>
        <w:t xml:space="preserve"> includes all result areas/activities and Disbursement-Linked Indicators (DLIs) that currently constitute the PHCQIO Program under the original International Development Association grant/credit and the multi-donor recipient-executed trust fund (RETF). </w:t>
      </w:r>
      <w:r w:rsidRPr="00AD40FF">
        <w:rPr>
          <w:rStyle w:val="a9"/>
          <w:lang w:val="en-US"/>
        </w:rPr>
        <w:t>Component 2: The Investment Component (Project)</w:t>
      </w:r>
      <w:r w:rsidRPr="00AD40FF">
        <w:rPr>
          <w:b/>
          <w:bCs/>
          <w:lang w:val="en-US"/>
        </w:rPr>
        <w:t xml:space="preserve"> </w:t>
      </w:r>
      <w:r w:rsidRPr="00AD40FF">
        <w:rPr>
          <w:lang w:val="en-US"/>
        </w:rPr>
        <w:t xml:space="preserve">is financed through Additional Financing and consists of two subcomponents. </w:t>
      </w:r>
      <w:r w:rsidRPr="00AD40FF">
        <w:rPr>
          <w:rStyle w:val="a9"/>
          <w:lang w:val="en-US"/>
        </w:rPr>
        <w:t>Subcomponent 2.1 (goods, non-consulting services, operating costs)</w:t>
      </w:r>
      <w:r w:rsidRPr="00AD40FF">
        <w:rPr>
          <w:lang w:val="en-US"/>
        </w:rPr>
        <w:t xml:space="preserve"> will be financed from the new financing under the PHCQIO Multi-Donor Trust Fund (MDTF). </w:t>
      </w:r>
      <w:r w:rsidRPr="00AD40FF">
        <w:rPr>
          <w:rStyle w:val="a9"/>
          <w:lang w:val="en-US"/>
        </w:rPr>
        <w:t>Subcomponent 2.2 (TA – Technical Assistance)</w:t>
      </w:r>
      <w:r w:rsidRPr="00AD40FF">
        <w:rPr>
          <w:lang w:val="en-US"/>
        </w:rPr>
        <w:t xml:space="preserve"> will be financed from the Single-Donor Trust Fund (SDTF).</w:t>
      </w:r>
    </w:p>
    <w:p w14:paraId="75AEC9CC" w14:textId="77777777" w:rsidR="00AD40FF" w:rsidRDefault="00AD40FF" w:rsidP="00AD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E40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Program supports three main results areas aimed at strengthening several foundational elements of the health quality improvement system.</w:t>
      </w:r>
    </w:p>
    <w:p w14:paraId="4D8083FB" w14:textId="77777777" w:rsidR="00AD40FF" w:rsidRPr="00221F66" w:rsidRDefault="00AD40FF" w:rsidP="00AD40F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1F66">
        <w:rPr>
          <w:rStyle w:val="a9"/>
          <w:rFonts w:ascii="Times New Roman" w:hAnsi="Times New Roman" w:cs="Times New Roman"/>
          <w:sz w:val="24"/>
          <w:szCs w:val="24"/>
          <w:lang w:val="en-US"/>
        </w:rPr>
        <w:t>Result Area 1:</w:t>
      </w:r>
      <w:r w:rsidRPr="00221F66">
        <w:rPr>
          <w:rFonts w:ascii="Times New Roman" w:hAnsi="Times New Roman" w:cs="Times New Roman"/>
          <w:sz w:val="24"/>
          <w:szCs w:val="24"/>
          <w:lang w:val="en-US"/>
        </w:rPr>
        <w:t xml:space="preserve"> Integration of sustainable quality improvement mechanisms into the service delivery process.</w:t>
      </w:r>
      <w:r w:rsidRPr="00221F6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21F66">
        <w:rPr>
          <w:rStyle w:val="a9"/>
          <w:rFonts w:ascii="Times New Roman" w:hAnsi="Times New Roman" w:cs="Times New Roman"/>
          <w:sz w:val="24"/>
          <w:szCs w:val="24"/>
          <w:lang w:val="en-US"/>
        </w:rPr>
        <w:t>Result Area 2:</w:t>
      </w:r>
      <w:r w:rsidRPr="00221F66">
        <w:rPr>
          <w:rFonts w:ascii="Times New Roman" w:hAnsi="Times New Roman" w:cs="Times New Roman"/>
          <w:sz w:val="24"/>
          <w:szCs w:val="24"/>
          <w:lang w:val="en-US"/>
        </w:rPr>
        <w:t xml:space="preserve"> Strengthening strategic purchasing to ensure the quality of health care.</w:t>
      </w:r>
      <w:r w:rsidRPr="00221F6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21F66">
        <w:rPr>
          <w:rStyle w:val="a9"/>
          <w:rFonts w:ascii="Times New Roman" w:hAnsi="Times New Roman" w:cs="Times New Roman"/>
          <w:sz w:val="24"/>
          <w:szCs w:val="24"/>
          <w:lang w:val="en-US"/>
        </w:rPr>
        <w:t>Result Area 3:</w:t>
      </w:r>
      <w:r w:rsidRPr="00221F66">
        <w:rPr>
          <w:rFonts w:ascii="Times New Roman" w:hAnsi="Times New Roman" w:cs="Times New Roman"/>
          <w:sz w:val="24"/>
          <w:szCs w:val="24"/>
          <w:lang w:val="en-US"/>
        </w:rPr>
        <w:t xml:space="preserve"> Strengthening governance and management in the health sector to improve quality.</w:t>
      </w:r>
    </w:p>
    <w:p w14:paraId="56540B2D" w14:textId="77777777" w:rsidR="00AD40FF" w:rsidRPr="00D337A2" w:rsidRDefault="00AD40FF" w:rsidP="00AD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7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Subcomponent 2.1</w:t>
      </w: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Pr="00D33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will provide PHC organizations with basic diagnostic and clinical equipment, supplies, and operational expenses to improve the quality of care across a broad range of medical services, including maternal and child health (MCH) 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non-communicable diseases (</w:t>
      </w:r>
      <w:r w:rsidRPr="00D33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NCDs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D33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Additional investments will also be made to strengthen capacity in medical waste management and ensure overall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information technology (</w:t>
      </w:r>
      <w:r w:rsidRPr="00D33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D33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readiness to scale up digital health initiatives. This subcomponent will help bridge this gap, complementing the initial results-based approach of the Program.</w:t>
      </w:r>
    </w:p>
    <w:p w14:paraId="713D92C3" w14:textId="77777777" w:rsidR="00AD40FF" w:rsidRPr="004B07DB" w:rsidRDefault="00AD40FF" w:rsidP="00AD40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07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Subcomponent 2.2: </w:t>
      </w:r>
      <w:r w:rsidRPr="004B07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will include TA (consulting services and training) that are critical to improving the quality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primary health care (</w:t>
      </w:r>
      <w:r w:rsidRPr="004B07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PHC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4B07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including optimization and implementation of IT systems and software, continuous development and updating of training and assessment materials for </w:t>
      </w:r>
      <w:r w:rsidRPr="004B07DB">
        <w:rPr>
          <w:rFonts w:ascii="Times New Roman" w:hAnsi="Times New Roman" w:cs="Times New Roman"/>
          <w:sz w:val="24"/>
          <w:szCs w:val="24"/>
          <w:lang w:val="en-US"/>
        </w:rPr>
        <w:t>Continuous Professional Development (CPD)</w:t>
      </w:r>
      <w:r w:rsidRPr="004B07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development of guidelines for PHC facilities on relevant aspects of health financing based on the latest reforms, preparation of technical specifications for tenders,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ensuring compliance with World Bank </w:t>
      </w:r>
      <w:r w:rsidRPr="004B07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environmental and social standards, technical coordination, training, and auditing.</w:t>
      </w:r>
    </w:p>
    <w:p w14:paraId="623445BD" w14:textId="77777777" w:rsidR="00AD40FF" w:rsidRDefault="00AD40FF" w:rsidP="00AD40FF">
      <w:pPr>
        <w:shd w:val="clear" w:color="auto" w:fill="FFFFFF"/>
        <w:spacing w:after="120" w:line="242" w:lineRule="auto"/>
        <w:ind w:right="141" w:firstLine="8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644A17" w14:textId="77777777" w:rsidR="00AD40FF" w:rsidRDefault="00AD40FF" w:rsidP="00AD40FF">
      <w:pPr>
        <w:shd w:val="clear" w:color="auto" w:fill="FFFFFF"/>
        <w:spacing w:after="120" w:line="242" w:lineRule="auto"/>
        <w:ind w:right="141" w:firstLine="8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7B1372" w14:textId="77777777" w:rsidR="00AD40FF" w:rsidRPr="00047C02" w:rsidRDefault="00AD40FF" w:rsidP="00AD40FF">
      <w:pPr>
        <w:shd w:val="clear" w:color="auto" w:fill="FFFFFF"/>
        <w:spacing w:after="120" w:line="242" w:lineRule="auto"/>
        <w:ind w:right="141" w:firstLine="8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A5D401" w14:textId="77777777" w:rsidR="00AD40FF" w:rsidRPr="00047C02" w:rsidRDefault="00AD40FF" w:rsidP="00AD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II. OBJECTIVE OF THE ASSIGNMENT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To ensure effective secretaria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document management support for the P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roject 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mplementation 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nit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provide timely and high-quality written and oral translation of project documentation and business correspondence, as well as to organize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project-related 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events and logistics.</w:t>
      </w:r>
    </w:p>
    <w:p w14:paraId="34C3112A" w14:textId="77777777" w:rsidR="00AD40FF" w:rsidRPr="00047C02" w:rsidRDefault="00AD40FF" w:rsidP="00AD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TASKS AND RESPONSIBILITIES</w:t>
      </w:r>
    </w:p>
    <w:p w14:paraId="3A765A31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Provide 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PIU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with 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secretaria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 services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prepare minutes of meetings, monitor implementation of assigned tasks;</w:t>
      </w:r>
    </w:p>
    <w:p w14:paraId="696ECCC9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Maintain a register of contracts and personnel files of PIU staff; draft PIU orders (in Russian/Kyrgyz);</w:t>
      </w:r>
    </w:p>
    <w:p w14:paraId="5AB323B1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 incoming/outgoing correspondence; distribute and coordinate documents with the MoH and the donor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256D33FD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Collect primary financial documentation; support archiving and filing systems;</w:t>
      </w:r>
    </w:p>
    <w:p w14:paraId="69703FF5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Ensure office supplies and equipment, conduct inventory of non-current assets and fixed assets;</w:t>
      </w:r>
    </w:p>
    <w:p w14:paraId="12528C0C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 and organize meetings, trainings, workshops, and field visits; prepare agendas, presentations, and reports;</w:t>
      </w:r>
    </w:p>
    <w:p w14:paraId="03D36D5F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Arrange reception and support of missions/experts; coordinate visas, travel, and accommodation; prepare travel documents;</w:t>
      </w:r>
    </w:p>
    <w:p w14:paraId="61179426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 written translation of documents/reports/correspondence Russian ↔ English (Kyrgyz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if required);</w:t>
      </w:r>
    </w:p>
    <w:p w14:paraId="609B7050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 consecutive interpretation at meetings and events; prepare brief summaries/briefing notes for management;</w:t>
      </w:r>
    </w:p>
    <w:p w14:paraId="4630863A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Support bilingual correspondence and file versioning (file name, date, language, version);</w:t>
      </w:r>
    </w:p>
    <w:p w14:paraId="4E9A3EC1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Participate in onboarding/adaptation of new staff; ensure compliance with PIU internal procedures and regulations;</w:t>
      </w:r>
    </w:p>
    <w:p w14:paraId="0E664A3B" w14:textId="77777777" w:rsidR="00AD40FF" w:rsidRPr="00047C02" w:rsidRDefault="00AD40FF" w:rsidP="00AD4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Perform other tasks assigned by the PIU Manager within the scope of this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assignment.</w:t>
      </w:r>
    </w:p>
    <w:p w14:paraId="053A844A" w14:textId="77777777" w:rsidR="00AD40FF" w:rsidRPr="00047C02" w:rsidRDefault="00AD40FF" w:rsidP="00AD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QUALIFICATION REQUIREMENTS</w:t>
      </w:r>
    </w:p>
    <w:p w14:paraId="30F1CFF8" w14:textId="77777777" w:rsidR="00AD40FF" w:rsidRPr="00047C02" w:rsidRDefault="00AD40FF" w:rsidP="00AD40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Higher education in linguistics, translation, English philology, or teaching English; other higher education may be accepted if supported by relevant experience in translation/office management – </w:t>
      </w:r>
      <w:r w:rsidRPr="00047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 points;</w:t>
      </w:r>
    </w:p>
    <w:p w14:paraId="47C422B4" w14:textId="77777777" w:rsidR="00AD40FF" w:rsidRPr="00047C02" w:rsidRDefault="00AD40FF" w:rsidP="00AD40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 least 2 years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relevant 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professional experience (translation/administrative support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); such experience in 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donor-funded projects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 be considered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 advantage) – </w:t>
      </w:r>
      <w:r w:rsidRPr="00047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25 points;</w:t>
      </w:r>
    </w:p>
    <w:p w14:paraId="4A74236A" w14:textId="77777777" w:rsidR="00AD40FF" w:rsidRPr="00047C02" w:rsidRDefault="00AD40FF" w:rsidP="00AD40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Strong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demonstrated 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skills in written and oral translation Russian ↔ English – </w:t>
      </w:r>
      <w:r w:rsidRPr="00047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 points;</w:t>
      </w:r>
    </w:p>
    <w:p w14:paraId="647F730C" w14:textId="77777777" w:rsidR="00AD40FF" w:rsidRPr="00047C02" w:rsidRDefault="00AD40FF" w:rsidP="00AD40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Languages: fluency in Russian and English (minimum C1 level); knowledge of Kyrgyz is an advantage – </w:t>
      </w:r>
      <w:r w:rsidRPr="00047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 points;</w:t>
      </w:r>
    </w:p>
    <w:p w14:paraId="086D6F86" w14:textId="77777777" w:rsidR="00AD40FF" w:rsidRPr="00047C02" w:rsidRDefault="00AD40FF" w:rsidP="00AD40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Demonstrated s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kills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records management, business correspondence, event organization, ability to work under deadlines, strong communication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skills 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047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10 points;</w:t>
      </w:r>
    </w:p>
    <w:p w14:paraId="695C2B30" w14:textId="77777777" w:rsidR="00AD40FF" w:rsidRPr="00047C02" w:rsidRDefault="00AD40FF" w:rsidP="00AD40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skills: proficiency in MS Word/Excel/PowerPoint; experience with cloud storage and e-mail systems – </w:t>
      </w:r>
      <w:r w:rsidRPr="00047C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 points.</w:t>
      </w:r>
    </w:p>
    <w:p w14:paraId="0FF1C388" w14:textId="77777777" w:rsidR="00AD40FF" w:rsidRPr="00047C02" w:rsidRDefault="00AD40FF" w:rsidP="00AD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CONTRACT CONDITIONS</w:t>
      </w:r>
    </w:p>
    <w:p w14:paraId="48E6EBE2" w14:textId="77777777" w:rsidR="00AD40FF" w:rsidRPr="00047C02" w:rsidRDefault="00AD40FF" w:rsidP="00AD40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Duration: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12 (twelve) months, including a 3-month probationary period. Extension may be possible based on performance evaluation and project needs;</w:t>
      </w:r>
    </w:p>
    <w:p w14:paraId="5DF40EC6" w14:textId="77777777" w:rsidR="00AD40FF" w:rsidRPr="00047C02" w:rsidRDefault="00AD40FF" w:rsidP="00AD40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Reporting: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reports directly to the PIU Manager; short-term business trips within the Kyrgyz Republic may be required;</w:t>
      </w:r>
    </w:p>
    <w:p w14:paraId="76E79B51" w14:textId="77777777" w:rsidR="00AD40FF" w:rsidRPr="00047C02" w:rsidRDefault="00AD40FF" w:rsidP="00AD40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Workload: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full-time position in accordance with PIU internal regulations.</w:t>
      </w:r>
    </w:p>
    <w:p w14:paraId="0E71B152" w14:textId="77777777" w:rsidR="00AD40FF" w:rsidRPr="00047C02" w:rsidRDefault="00AD40FF" w:rsidP="00AD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VI. REPORTING AND PAYMENT PROCEDURE</w:t>
      </w:r>
    </w:p>
    <w:p w14:paraId="3AAC44F2" w14:textId="77777777" w:rsidR="00AD40FF" w:rsidRPr="00047C02" w:rsidRDefault="00AD40FF" w:rsidP="00AD40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Monthly report on tasks performed (list of works and translated materials) and timesheet – to be submitted by the 3rd working day of the month following the reporting period.</w:t>
      </w:r>
    </w:p>
    <w:p w14:paraId="7DDDCD8E" w14:textId="77777777" w:rsidR="00AD40FF" w:rsidRPr="00047C02" w:rsidRDefault="00AD40FF" w:rsidP="00AD40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report and timesheet are to be approved by the PIU Manager and the Deputy Minister overseeing the Project and will serve as the basis for payment.</w:t>
      </w:r>
    </w:p>
    <w:p w14:paraId="4123B207" w14:textId="77777777" w:rsidR="00AD40FF" w:rsidRPr="00047C02" w:rsidRDefault="00AD40FF" w:rsidP="00AD40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 necessary, a quarterly plan-versus-actual report and a final report upon completion of the contract may be required.</w:t>
      </w:r>
    </w:p>
    <w:p w14:paraId="117190AF" w14:textId="77777777" w:rsidR="00AD40FF" w:rsidRPr="00047C02" w:rsidRDefault="00AD40FF" w:rsidP="00AD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VII. CONFIDENTIALITY AND ETHICS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Consultant shall maintain the confidentiality of any information received in the course of fulfilling the </w:t>
      </w:r>
      <w:proofErr w:type="spellStart"/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</w:t>
      </w:r>
      <w:proofErr w:type="spellEnd"/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comply with personal data protection requirements. Conflicts of interest are not permitted and must be disclosed immediately.</w:t>
      </w:r>
    </w:p>
    <w:p w14:paraId="4CC850C1" w14:textId="77777777" w:rsidR="00AD40FF" w:rsidRPr="00047C02" w:rsidRDefault="00AD40FF" w:rsidP="00AD4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7C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VIII. OTHER PROVISIONS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appointment of PIU staff shall be formalized by the corresponding PIU order following the results of the competitive selection. All documents are to be prepared in Russian; translation into English/Kyrgyz shall be provided when necessary.</w:t>
      </w:r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This </w:t>
      </w:r>
      <w:proofErr w:type="spellStart"/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</w:t>
      </w:r>
      <w:proofErr w:type="spellEnd"/>
      <w:r w:rsidRPr="00047C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may be clarified or supplemented by mutual agreement of the parties without altering the substance of the duties.</w:t>
      </w:r>
    </w:p>
    <w:p w14:paraId="4BD83F5C" w14:textId="77777777" w:rsidR="00AD40FF" w:rsidRPr="00AD40FF" w:rsidRDefault="00AD40FF" w:rsidP="00B1049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C6B94F" w14:textId="77777777" w:rsidR="002C410B" w:rsidRPr="0018578E" w:rsidRDefault="002C410B" w:rsidP="00B1049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BFEB61" w14:textId="77777777" w:rsidR="002C410B" w:rsidRDefault="002C410B" w:rsidP="00B1049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AD77EF" w14:textId="77777777" w:rsidR="0018578E" w:rsidRDefault="0018578E" w:rsidP="00B1049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DEAED1" w14:textId="77777777" w:rsidR="0018578E" w:rsidRPr="0018578E" w:rsidRDefault="0018578E" w:rsidP="00B1049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8578E" w:rsidRPr="00185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CCA"/>
    <w:multiLevelType w:val="multilevel"/>
    <w:tmpl w:val="7E5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05BA"/>
    <w:multiLevelType w:val="multilevel"/>
    <w:tmpl w:val="D410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01F34"/>
    <w:multiLevelType w:val="hybridMultilevel"/>
    <w:tmpl w:val="3B86F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611BC"/>
    <w:multiLevelType w:val="hybridMultilevel"/>
    <w:tmpl w:val="B7E43344"/>
    <w:lvl w:ilvl="0" w:tplc="5D7A72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60568D"/>
    <w:multiLevelType w:val="multilevel"/>
    <w:tmpl w:val="4680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A348F"/>
    <w:multiLevelType w:val="multilevel"/>
    <w:tmpl w:val="1012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C273C"/>
    <w:multiLevelType w:val="multilevel"/>
    <w:tmpl w:val="CDE8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91887"/>
    <w:multiLevelType w:val="hybridMultilevel"/>
    <w:tmpl w:val="31BE9B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99734D"/>
    <w:multiLevelType w:val="multilevel"/>
    <w:tmpl w:val="574A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B7990"/>
    <w:multiLevelType w:val="multilevel"/>
    <w:tmpl w:val="95D8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1499B"/>
    <w:multiLevelType w:val="multilevel"/>
    <w:tmpl w:val="13F4B8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97019"/>
    <w:multiLevelType w:val="hybridMultilevel"/>
    <w:tmpl w:val="0CB28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57B23"/>
    <w:multiLevelType w:val="multilevel"/>
    <w:tmpl w:val="9624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833F7"/>
    <w:multiLevelType w:val="hybridMultilevel"/>
    <w:tmpl w:val="A5B0C8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2058C"/>
    <w:multiLevelType w:val="multilevel"/>
    <w:tmpl w:val="FBC8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554CE5"/>
    <w:multiLevelType w:val="multilevel"/>
    <w:tmpl w:val="42E2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501B6E"/>
    <w:multiLevelType w:val="hybridMultilevel"/>
    <w:tmpl w:val="F51E4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D70BF"/>
    <w:multiLevelType w:val="multilevel"/>
    <w:tmpl w:val="326A5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D83F81"/>
    <w:multiLevelType w:val="multilevel"/>
    <w:tmpl w:val="0886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848EA"/>
    <w:multiLevelType w:val="multilevel"/>
    <w:tmpl w:val="F99A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4376">
    <w:abstractNumId w:val="14"/>
  </w:num>
  <w:num w:numId="2" w16cid:durableId="430324936">
    <w:abstractNumId w:val="5"/>
  </w:num>
  <w:num w:numId="3" w16cid:durableId="1617054365">
    <w:abstractNumId w:val="15"/>
  </w:num>
  <w:num w:numId="4" w16cid:durableId="1295211397">
    <w:abstractNumId w:val="1"/>
  </w:num>
  <w:num w:numId="5" w16cid:durableId="1961455632">
    <w:abstractNumId w:val="18"/>
  </w:num>
  <w:num w:numId="6" w16cid:durableId="1646548331">
    <w:abstractNumId w:val="17"/>
  </w:num>
  <w:num w:numId="7" w16cid:durableId="2019963993">
    <w:abstractNumId w:val="0"/>
  </w:num>
  <w:num w:numId="8" w16cid:durableId="246161738">
    <w:abstractNumId w:val="8"/>
  </w:num>
  <w:num w:numId="9" w16cid:durableId="269364870">
    <w:abstractNumId w:val="19"/>
  </w:num>
  <w:num w:numId="10" w16cid:durableId="1092819561">
    <w:abstractNumId w:val="12"/>
  </w:num>
  <w:num w:numId="11" w16cid:durableId="1025129604">
    <w:abstractNumId w:val="2"/>
  </w:num>
  <w:num w:numId="12" w16cid:durableId="365569363">
    <w:abstractNumId w:val="7"/>
  </w:num>
  <w:num w:numId="13" w16cid:durableId="609825409">
    <w:abstractNumId w:val="13"/>
  </w:num>
  <w:num w:numId="14" w16cid:durableId="1963724318">
    <w:abstractNumId w:val="3"/>
  </w:num>
  <w:num w:numId="15" w16cid:durableId="989022829">
    <w:abstractNumId w:val="16"/>
  </w:num>
  <w:num w:numId="16" w16cid:durableId="2085060551">
    <w:abstractNumId w:val="11"/>
  </w:num>
  <w:num w:numId="17" w16cid:durableId="1561212597">
    <w:abstractNumId w:val="6"/>
  </w:num>
  <w:num w:numId="18" w16cid:durableId="53549408">
    <w:abstractNumId w:val="9"/>
  </w:num>
  <w:num w:numId="19" w16cid:durableId="420444032">
    <w:abstractNumId w:val="4"/>
  </w:num>
  <w:num w:numId="20" w16cid:durableId="1687906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57"/>
    <w:rsid w:val="00074D14"/>
    <w:rsid w:val="000F265B"/>
    <w:rsid w:val="001816A4"/>
    <w:rsid w:val="0018578E"/>
    <w:rsid w:val="001E7703"/>
    <w:rsid w:val="002C410B"/>
    <w:rsid w:val="00383CED"/>
    <w:rsid w:val="004F3A2A"/>
    <w:rsid w:val="004F4125"/>
    <w:rsid w:val="00521C58"/>
    <w:rsid w:val="005C2D1C"/>
    <w:rsid w:val="00663C57"/>
    <w:rsid w:val="00674367"/>
    <w:rsid w:val="00762625"/>
    <w:rsid w:val="0076762F"/>
    <w:rsid w:val="00787E24"/>
    <w:rsid w:val="0079410B"/>
    <w:rsid w:val="008666E0"/>
    <w:rsid w:val="008D039B"/>
    <w:rsid w:val="00914A06"/>
    <w:rsid w:val="009423E4"/>
    <w:rsid w:val="00A87C64"/>
    <w:rsid w:val="00AD40FF"/>
    <w:rsid w:val="00B10494"/>
    <w:rsid w:val="00B26311"/>
    <w:rsid w:val="00D24CC6"/>
    <w:rsid w:val="00D7668E"/>
    <w:rsid w:val="00E76339"/>
    <w:rsid w:val="00EA57F2"/>
    <w:rsid w:val="00EE0365"/>
    <w:rsid w:val="00F54B36"/>
    <w:rsid w:val="00FC2D0F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3544"/>
  <w15:chartTrackingRefBased/>
  <w15:docId w15:val="{0487E509-409B-469F-99C2-D21E386B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1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C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hepagetitle">
    <w:name w:val="thepagetitle"/>
    <w:basedOn w:val="a"/>
    <w:rsid w:val="0052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2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1.1.1_List Paragraph,Body,Bullets,List Bullet Mary,List Paragraph (numbered (a)),List Paragraph Char Char Char,List Paragraph nowy,List Paragraph1,Liste 1,Medium Grid 1 - Accent 21,Numbered List Paragraph,References,ReferencesCxSpLast,lp1"/>
    <w:basedOn w:val="a"/>
    <w:link w:val="a4"/>
    <w:uiPriority w:val="34"/>
    <w:qFormat/>
    <w:rsid w:val="0052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1C5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7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4D14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D24CC6"/>
    <w:rPr>
      <w:b/>
      <w:bCs/>
    </w:rPr>
  </w:style>
  <w:style w:type="table" w:styleId="aa">
    <w:name w:val="Table Grid"/>
    <w:basedOn w:val="a1"/>
    <w:uiPriority w:val="59"/>
    <w:rsid w:val="00D2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1.1.1_List Paragraph Знак,Body Знак,Bullets Знак,List Bullet Mary Знак,List Paragraph (numbered (a)) Знак,List Paragraph Char Char Char Знак,List Paragraph nowy Знак,List Paragraph1 Знак,Liste 1 Знак,Medium Grid 1 - Accent 21 Знак"/>
    <w:basedOn w:val="a0"/>
    <w:link w:val="a3"/>
    <w:uiPriority w:val="34"/>
    <w:qFormat/>
    <w:rsid w:val="0018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18578E"/>
    <w:pPr>
      <w:widowControl w:val="0"/>
      <w:autoSpaceDE w:val="0"/>
      <w:autoSpaceDN w:val="0"/>
      <w:spacing w:after="0" w:line="240" w:lineRule="auto"/>
      <w:ind w:left="126" w:firstLine="68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1"/>
    <w:semiHidden/>
    <w:rsid w:val="0018578E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0362">
              <w:marLeft w:val="-225"/>
              <w:marRight w:val="-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Sultangazieva Saltanat</dc:creator>
  <cp:keywords/>
  <dc:description/>
  <cp:lastModifiedBy>Ainura Kenjekaraeva</cp:lastModifiedBy>
  <cp:revision>2</cp:revision>
  <dcterms:created xsi:type="dcterms:W3CDTF">2026-03-27T13:32:00Z</dcterms:created>
  <dcterms:modified xsi:type="dcterms:W3CDTF">2026-03-27T13:32:00Z</dcterms:modified>
</cp:coreProperties>
</file>