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15A6" w14:textId="7D018D32" w:rsidR="009C2D93" w:rsidRPr="00095466" w:rsidRDefault="00B8038E" w:rsidP="00ED1A0E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ru-RU"/>
        </w:rPr>
      </w:pPr>
      <w:r w:rsidRPr="00095466">
        <w:rPr>
          <w:rFonts w:cs="Arial"/>
          <w:b/>
          <w:bCs/>
          <w:noProof/>
          <w:szCs w:val="22"/>
          <w:u w:val="single"/>
          <w:lang w:val="ru-RU"/>
        </w:rPr>
        <w:t>ТЕХНИЧЕСКОЕ ЗАДАНИЕ</w:t>
      </w:r>
    </w:p>
    <w:p w14:paraId="647E5140" w14:textId="77777777" w:rsidR="009C2D93" w:rsidRPr="00095466" w:rsidRDefault="009C2D93" w:rsidP="00082B85">
      <w:pPr>
        <w:autoSpaceDE w:val="0"/>
        <w:autoSpaceDN w:val="0"/>
        <w:adjustRightInd w:val="0"/>
        <w:jc w:val="left"/>
        <w:rPr>
          <w:rFonts w:cs="Arial"/>
          <w:b/>
          <w:bCs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606"/>
        <w:gridCol w:w="1361"/>
        <w:gridCol w:w="1086"/>
        <w:gridCol w:w="384"/>
        <w:gridCol w:w="2983"/>
      </w:tblGrid>
      <w:tr w:rsidR="009C2D93" w:rsidRPr="00095466" w14:paraId="2BFF908F" w14:textId="77777777" w:rsidTr="00B8038E">
        <w:tc>
          <w:tcPr>
            <w:tcW w:w="1842" w:type="dxa"/>
          </w:tcPr>
          <w:p w14:paraId="5CFFFD2F" w14:textId="0553D6B9" w:rsidR="009C2D93" w:rsidRPr="00095466" w:rsidRDefault="00B8038E" w:rsidP="00082B85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095466">
              <w:rPr>
                <w:rFonts w:cs="Arial"/>
                <w:b/>
                <w:bCs/>
                <w:szCs w:val="22"/>
                <w:lang w:val="ru-RU"/>
              </w:rPr>
              <w:t>Контракт</w:t>
            </w:r>
          </w:p>
        </w:tc>
        <w:tc>
          <w:tcPr>
            <w:tcW w:w="7508" w:type="dxa"/>
            <w:gridSpan w:val="5"/>
          </w:tcPr>
          <w:p w14:paraId="63A0D45B" w14:textId="7783B102" w:rsidR="009C2D93" w:rsidRPr="00095466" w:rsidRDefault="0041288D" w:rsidP="002C1DE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ru-RU"/>
              </w:rPr>
            </w:pPr>
            <w:r w:rsidRPr="00095466">
              <w:rPr>
                <w:rFonts w:cs="Arial"/>
                <w:szCs w:val="22"/>
                <w:lang w:val="ru-RU"/>
              </w:rPr>
              <w:t>КР</w:t>
            </w:r>
            <w:r w:rsidR="00B8038E" w:rsidRPr="00095466">
              <w:rPr>
                <w:rFonts w:cs="Arial"/>
                <w:szCs w:val="22"/>
                <w:lang w:val="ru-RU"/>
              </w:rPr>
              <w:t>: Проект «Электрификация городского транспорта»</w:t>
            </w:r>
          </w:p>
        </w:tc>
      </w:tr>
      <w:tr w:rsidR="009C2D93" w:rsidRPr="00095466" w14:paraId="595FD161" w14:textId="77777777" w:rsidTr="00B8038E">
        <w:tc>
          <w:tcPr>
            <w:tcW w:w="1842" w:type="dxa"/>
          </w:tcPr>
          <w:p w14:paraId="06598E34" w14:textId="73AC67CE" w:rsidR="009C2D93" w:rsidRPr="00095466" w:rsidRDefault="00F51100" w:rsidP="00082B85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095466">
              <w:rPr>
                <w:rFonts w:cs="Arial"/>
                <w:b/>
                <w:bCs/>
                <w:szCs w:val="22"/>
                <w:lang w:val="ru-RU"/>
              </w:rPr>
              <w:t>Специализация</w:t>
            </w:r>
          </w:p>
        </w:tc>
        <w:tc>
          <w:tcPr>
            <w:tcW w:w="7508" w:type="dxa"/>
            <w:gridSpan w:val="5"/>
          </w:tcPr>
          <w:p w14:paraId="55F9867C" w14:textId="6D7B75D7" w:rsidR="0016301E" w:rsidRPr="00095466" w:rsidRDefault="0016301E" w:rsidP="0016301E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ru-RU"/>
              </w:rPr>
            </w:pPr>
            <w:r w:rsidRPr="00095466">
              <w:rPr>
                <w:rFonts w:cs="Arial"/>
                <w:szCs w:val="22"/>
                <w:lang w:val="ru-RU"/>
              </w:rPr>
              <w:t xml:space="preserve">Управление окружающей средой, </w:t>
            </w:r>
            <w:r w:rsidR="00F51100" w:rsidRPr="00095466">
              <w:rPr>
                <w:rFonts w:cs="Arial"/>
                <w:szCs w:val="22"/>
                <w:lang w:val="ru-RU"/>
              </w:rPr>
              <w:t>строительный надзор</w:t>
            </w:r>
            <w:r w:rsidRPr="00095466">
              <w:rPr>
                <w:rFonts w:cs="Arial"/>
                <w:szCs w:val="22"/>
                <w:lang w:val="ru-RU"/>
              </w:rPr>
              <w:t xml:space="preserve"> и соблюдение Положения АБР о политике по защитным мерам в редакции 2009 года и требований национального законодательства.</w:t>
            </w:r>
          </w:p>
          <w:p w14:paraId="2C1CBFE8" w14:textId="77777777" w:rsidR="0016301E" w:rsidRPr="00095466" w:rsidRDefault="0016301E" w:rsidP="002C1DE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ru-RU"/>
              </w:rPr>
            </w:pPr>
          </w:p>
          <w:p w14:paraId="61D8E897" w14:textId="62C1E4D8" w:rsidR="00EE6143" w:rsidRPr="00095466" w:rsidRDefault="00B8038E" w:rsidP="002C1DEA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ru-RU"/>
              </w:rPr>
            </w:pPr>
            <w:r w:rsidRPr="00095466">
              <w:rPr>
                <w:rFonts w:cs="Arial"/>
                <w:szCs w:val="22"/>
                <w:lang w:val="ru-RU"/>
              </w:rPr>
              <w:t xml:space="preserve">Специалист по </w:t>
            </w:r>
            <w:r w:rsidR="00F51100" w:rsidRPr="00095466">
              <w:rPr>
                <w:rFonts w:cs="Arial"/>
                <w:szCs w:val="22"/>
                <w:lang w:val="ru-RU"/>
              </w:rPr>
              <w:t>экологическим защитным мерам</w:t>
            </w:r>
            <w:r w:rsidRPr="00095466">
              <w:rPr>
                <w:rFonts w:cs="Arial"/>
                <w:szCs w:val="22"/>
                <w:lang w:val="ru-RU"/>
              </w:rPr>
              <w:t xml:space="preserve"> (ОРП)</w:t>
            </w:r>
          </w:p>
        </w:tc>
      </w:tr>
      <w:tr w:rsidR="00B8038E" w:rsidRPr="00095466" w14:paraId="63452574" w14:textId="77777777" w:rsidTr="00B8038E">
        <w:tc>
          <w:tcPr>
            <w:tcW w:w="1842" w:type="dxa"/>
          </w:tcPr>
          <w:p w14:paraId="4BF05EFD" w14:textId="636F21C2" w:rsidR="00B8038E" w:rsidRPr="00095466" w:rsidRDefault="00B8038E" w:rsidP="00B8038E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095466">
              <w:rPr>
                <w:rFonts w:cs="Arial"/>
                <w:b/>
                <w:bCs/>
                <w:szCs w:val="22"/>
                <w:lang w:val="ru-RU"/>
              </w:rPr>
              <w:t>Источник</w:t>
            </w:r>
          </w:p>
        </w:tc>
        <w:tc>
          <w:tcPr>
            <w:tcW w:w="3018" w:type="dxa"/>
            <w:gridSpan w:val="2"/>
          </w:tcPr>
          <w:p w14:paraId="5F78E733" w14:textId="715AFEAE" w:rsidR="00B8038E" w:rsidRPr="00095466" w:rsidRDefault="00B8038E" w:rsidP="00B8038E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095466">
              <w:rPr>
                <w:rFonts w:cs="Arial"/>
                <w:szCs w:val="22"/>
                <w:lang w:val="ru-RU"/>
              </w:rPr>
              <w:t>Национальный</w:t>
            </w:r>
          </w:p>
        </w:tc>
        <w:tc>
          <w:tcPr>
            <w:tcW w:w="1473" w:type="dxa"/>
            <w:gridSpan w:val="2"/>
          </w:tcPr>
          <w:p w14:paraId="3C4A80D2" w14:textId="70947D3E" w:rsidR="00B8038E" w:rsidRPr="00095466" w:rsidRDefault="00B8038E" w:rsidP="00B8038E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095466">
              <w:rPr>
                <w:rFonts w:cs="Arial"/>
                <w:b/>
                <w:bCs/>
                <w:szCs w:val="22"/>
                <w:lang w:val="ru-RU"/>
              </w:rPr>
              <w:t>Категория</w:t>
            </w:r>
          </w:p>
        </w:tc>
        <w:tc>
          <w:tcPr>
            <w:tcW w:w="3017" w:type="dxa"/>
          </w:tcPr>
          <w:p w14:paraId="113CC458" w14:textId="77777777" w:rsidR="00B8038E" w:rsidRPr="00095466" w:rsidRDefault="00B8038E" w:rsidP="00B8038E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</w:p>
        </w:tc>
      </w:tr>
      <w:tr w:rsidR="009C2D93" w:rsidRPr="00095466" w14:paraId="3A27035C" w14:textId="77777777" w:rsidTr="00B8038E">
        <w:trPr>
          <w:trHeight w:val="530"/>
        </w:trPr>
        <w:tc>
          <w:tcPr>
            <w:tcW w:w="9350" w:type="dxa"/>
            <w:gridSpan w:val="6"/>
            <w:tcBorders>
              <w:bottom w:val="single" w:sz="4" w:space="0" w:color="auto"/>
            </w:tcBorders>
          </w:tcPr>
          <w:p w14:paraId="5369F5FC" w14:textId="265A34EC" w:rsidR="0041288D" w:rsidRPr="00587829" w:rsidRDefault="002026E4" w:rsidP="002026E4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Cs w:val="22"/>
                <w:lang w:val="ru-RU"/>
              </w:rPr>
            </w:pPr>
            <w:r>
              <w:rPr>
                <w:rFonts w:cs="Arial"/>
                <w:b/>
                <w:bCs/>
                <w:szCs w:val="22"/>
                <w:lang w:val="ru-RU"/>
              </w:rPr>
              <w:t>Общая информация о проекте</w:t>
            </w:r>
          </w:p>
          <w:p w14:paraId="50A7C054" w14:textId="38E5D37F" w:rsidR="0016301E" w:rsidRPr="00587829" w:rsidRDefault="0016301E" w:rsidP="002026E4">
            <w:pPr>
              <w:autoSpaceDE w:val="0"/>
              <w:autoSpaceDN w:val="0"/>
              <w:adjustRightInd w:val="0"/>
              <w:spacing w:after="120"/>
              <w:rPr>
                <w:lang w:val="ru-RU"/>
              </w:rPr>
            </w:pPr>
            <w:r w:rsidRPr="00587829">
              <w:rPr>
                <w:lang w:val="ru-RU"/>
              </w:rPr>
              <w:t xml:space="preserve">Город Бишкек – это столица и экономический центр Кыргызской Республики. С 2000 года в городе отмечается постоянный прирост населения </w:t>
            </w:r>
            <w:r w:rsidR="00F51100" w:rsidRPr="00587829">
              <w:rPr>
                <w:lang w:val="ru-RU"/>
              </w:rPr>
              <w:t xml:space="preserve">примерно </w:t>
            </w:r>
            <w:r w:rsidRPr="00587829">
              <w:rPr>
                <w:lang w:val="ru-RU"/>
              </w:rPr>
              <w:t>на 1,5% ежегодно, и в 2019 году общая численность населения составила 1,02 млн человек. Бишкек, на долю которого приходится 40% ВВП страны и одна шестая часть населения Кыргызстана, в последние годы быстро развивался. Этот рост привел к быстрому увеличению моторизации и сопровождался постепенным переходом от систем общественного автобусного транспорта к частным микроавтобусам и личным пассажирским автомобилям. Результатом этих изменений стало значительное увеличение загруженности дорог в пределах города, серьезное загрязнение воздуха и сохранение высокого уровня энергетической зависимости страны. Если эти проблемы останутся нерешенными, они приведут к ухудшению экологии и условий жизни в городе, нанесут ущерб здоровью населения и, в конечном итоге, затормозят экономический рост.</w:t>
            </w:r>
          </w:p>
          <w:p w14:paraId="60F815F6" w14:textId="64EDC63E" w:rsidR="0016301E" w:rsidRPr="00587829" w:rsidRDefault="0016301E" w:rsidP="002026E4">
            <w:pPr>
              <w:autoSpaceDE w:val="0"/>
              <w:autoSpaceDN w:val="0"/>
              <w:adjustRightInd w:val="0"/>
              <w:spacing w:after="120"/>
              <w:rPr>
                <w:lang w:val="ru-RU"/>
              </w:rPr>
            </w:pPr>
            <w:r w:rsidRPr="00587829">
              <w:rPr>
                <w:lang w:val="ru-RU"/>
              </w:rPr>
              <w:t>Данный проект представляет собой первый шаг на пути к долгосрочной электрификации транспортного сектора Кыргызстана. Проект увеличит долю низкоэмиссионных и энергоэффективных крупных автобусов в секторе общественного транспорта Бишкека за счет замены устаревших традиционных автобусов и троллейбусов на электробусы. Учитывая высокую долю возобновляемых источников энергии в энергетическом секторе Кыргызской Республики, проект будет использовать преимущества низкого уровня загрязнения воздуха - ТЧ</w:t>
            </w:r>
            <w:r w:rsidRPr="00587829">
              <w:rPr>
                <w:vertAlign w:val="subscript"/>
                <w:lang w:val="ru-RU"/>
              </w:rPr>
              <w:t>2,5</w:t>
            </w:r>
            <w:r w:rsidRPr="00587829">
              <w:rPr>
                <w:lang w:val="ru-RU"/>
              </w:rPr>
              <w:t>, оксидов серы (SO</w:t>
            </w:r>
            <w:r w:rsidRPr="00587829">
              <w:rPr>
                <w:vertAlign w:val="subscript"/>
                <w:lang w:val="ru-RU"/>
              </w:rPr>
              <w:t>X</w:t>
            </w:r>
            <w:r w:rsidRPr="00587829">
              <w:rPr>
                <w:lang w:val="ru-RU"/>
              </w:rPr>
              <w:t>), оксидов азота (NO</w:t>
            </w:r>
            <w:r w:rsidRPr="00587829">
              <w:rPr>
                <w:vertAlign w:val="subscript"/>
                <w:lang w:val="ru-RU"/>
              </w:rPr>
              <w:t>X</w:t>
            </w:r>
            <w:r w:rsidRPr="00587829">
              <w:rPr>
                <w:lang w:val="ru-RU"/>
              </w:rPr>
              <w:t>) – и выбросов парниковых газов на уровне генерации для инициирования долгосрочного перехода к экологически и экономически устойчивому транспортному сектору в Бишкеке</w:t>
            </w:r>
            <w:r w:rsidR="00FA5247" w:rsidRPr="00587829">
              <w:rPr>
                <w:rStyle w:val="a5"/>
                <w:lang w:val="ru-RU"/>
              </w:rPr>
              <w:footnoteReference w:id="2"/>
            </w:r>
            <w:r w:rsidRPr="00587829">
              <w:rPr>
                <w:lang w:val="ru-RU"/>
              </w:rPr>
              <w:t>.</w:t>
            </w:r>
          </w:p>
          <w:p w14:paraId="669009E1" w14:textId="360FDB9B" w:rsidR="0016301E" w:rsidRPr="00587829" w:rsidRDefault="0016301E" w:rsidP="002026E4">
            <w:pPr>
              <w:spacing w:after="120"/>
              <w:rPr>
                <w:rFonts w:cs="Arial"/>
                <w:szCs w:val="22"/>
                <w:lang w:val="ru-RU"/>
              </w:rPr>
            </w:pPr>
            <w:r w:rsidRPr="00587829">
              <w:rPr>
                <w:rFonts w:cs="Arial"/>
                <w:szCs w:val="22"/>
                <w:lang w:val="ru-RU"/>
              </w:rPr>
              <w:t xml:space="preserve">Проект будет реализован совместно с мэрией города Бишкека (МГБ), которая будет выступать в качестве исполнительного агентства (ИА). Департамент транспорта и развития дорожно-транспортной инфраструктуры мэрии города Бишкек (ДТиРДТИ) и МП «Бишкекский городской транспорт» (БГТ) при ДТиРДТИ будут выступать в качестве реализующих агентств (РА). МП </w:t>
            </w:r>
            <w:r w:rsidR="00095466" w:rsidRPr="00587829">
              <w:rPr>
                <w:rFonts w:cs="Arial"/>
                <w:szCs w:val="22"/>
                <w:lang w:val="ru-RU"/>
              </w:rPr>
              <w:t>«</w:t>
            </w:r>
            <w:r w:rsidRPr="00587829">
              <w:rPr>
                <w:rFonts w:cs="Arial"/>
                <w:szCs w:val="22"/>
                <w:lang w:val="ru-RU"/>
              </w:rPr>
              <w:t>БГТ</w:t>
            </w:r>
            <w:r w:rsidR="00095466" w:rsidRPr="00587829">
              <w:rPr>
                <w:rFonts w:cs="Arial"/>
                <w:szCs w:val="22"/>
                <w:lang w:val="ru-RU"/>
              </w:rPr>
              <w:t>»</w:t>
            </w:r>
            <w:r w:rsidRPr="00587829">
              <w:rPr>
                <w:rFonts w:cs="Arial"/>
                <w:szCs w:val="22"/>
                <w:lang w:val="ru-RU"/>
              </w:rPr>
              <w:t xml:space="preserve"> будет отвечать за реализацию компонентов 1 и 2 проекта</w:t>
            </w:r>
            <w:r w:rsidR="00095466" w:rsidRPr="00587829">
              <w:rPr>
                <w:rFonts w:cs="Arial"/>
                <w:szCs w:val="22"/>
                <w:lang w:val="ru-RU"/>
              </w:rPr>
              <w:t>, а</w:t>
            </w:r>
            <w:r w:rsidRPr="00587829">
              <w:rPr>
                <w:rFonts w:cs="Arial"/>
                <w:szCs w:val="22"/>
                <w:lang w:val="ru-RU"/>
              </w:rPr>
              <w:t xml:space="preserve"> ДТиРДТИ - за осуществление компонентов 3 и 4 проекта. </w:t>
            </w:r>
          </w:p>
          <w:p w14:paraId="515D5F20" w14:textId="41F8CE6C" w:rsidR="0016301E" w:rsidRPr="00587829" w:rsidRDefault="0016301E" w:rsidP="002026E4">
            <w:pPr>
              <w:spacing w:after="120"/>
              <w:rPr>
                <w:rFonts w:cs="Arial"/>
                <w:szCs w:val="22"/>
                <w:lang w:val="ru-RU"/>
              </w:rPr>
            </w:pPr>
            <w:r w:rsidRPr="00587829">
              <w:rPr>
                <w:rFonts w:cs="Arial"/>
                <w:szCs w:val="22"/>
                <w:lang w:val="ru-RU"/>
              </w:rPr>
              <w:t xml:space="preserve">Два Реализующих агентства совместно учредили Отдел реализации проекта (ОРП), консультанты которого тесно </w:t>
            </w:r>
            <w:r w:rsidR="00273786" w:rsidRPr="00587829">
              <w:rPr>
                <w:rFonts w:cs="Arial"/>
                <w:szCs w:val="22"/>
                <w:lang w:val="ru-RU"/>
              </w:rPr>
              <w:t xml:space="preserve">работают и </w:t>
            </w:r>
            <w:r w:rsidRPr="00587829">
              <w:rPr>
                <w:rFonts w:cs="Arial"/>
                <w:szCs w:val="22"/>
                <w:lang w:val="ru-RU"/>
              </w:rPr>
              <w:t xml:space="preserve">взаимодействуют с указанными двумя </w:t>
            </w:r>
            <w:r w:rsidR="00095466" w:rsidRPr="00587829">
              <w:rPr>
                <w:rFonts w:cs="Arial"/>
                <w:szCs w:val="22"/>
                <w:lang w:val="ru-RU"/>
              </w:rPr>
              <w:t>агентствами</w:t>
            </w:r>
            <w:r w:rsidRPr="00587829">
              <w:rPr>
                <w:rFonts w:cs="Arial"/>
                <w:szCs w:val="22"/>
                <w:lang w:val="ru-RU"/>
              </w:rPr>
              <w:t xml:space="preserve"> с целью обеспечения успешной реализации проекта. ОРП будет возглавляться опытным директором, который будут отвечать за реализацию всех компонентов проекта. Все консультанты ОРП подчиняются Консультанту по управлению / реализации проекта, который будет отчитываться перед Директором ОРП и координатором АБР по проекту.</w:t>
            </w:r>
          </w:p>
          <w:p w14:paraId="23B38CA3" w14:textId="44DEF77F" w:rsidR="00095466" w:rsidRPr="00587829" w:rsidRDefault="00273786" w:rsidP="002026E4">
            <w:pPr>
              <w:autoSpaceDE w:val="0"/>
              <w:autoSpaceDN w:val="0"/>
              <w:adjustRightInd w:val="0"/>
              <w:spacing w:after="120"/>
              <w:rPr>
                <w:lang w:val="ru-RU"/>
              </w:rPr>
            </w:pPr>
            <w:r w:rsidRPr="00587829">
              <w:rPr>
                <w:lang w:val="ru-RU"/>
              </w:rPr>
              <w:t xml:space="preserve">Проект состоит из четырех основных компонентов. Компонент 1: (i) закупка 120 </w:t>
            </w:r>
            <w:r w:rsidR="00095466" w:rsidRPr="00587829">
              <w:rPr>
                <w:lang w:val="ru-RU"/>
              </w:rPr>
              <w:t>аккумуляторных электрических автобусов</w:t>
            </w:r>
            <w:r w:rsidRPr="00587829">
              <w:rPr>
                <w:lang w:val="ru-RU"/>
              </w:rPr>
              <w:t xml:space="preserve">, (ii) 3-летний план надзора за техническим </w:t>
            </w:r>
            <w:r w:rsidRPr="00587829">
              <w:rPr>
                <w:lang w:val="ru-RU"/>
              </w:rPr>
              <w:lastRenderedPageBreak/>
              <w:t>обслуживанием, и (iii) соответствующие запасные части и (iv) один эвакуатор. Компонент 2 направлен на модернизацию двух троллейбусных депо, включая: (i) строительство защищенных от непогоды парковочных мест, (ii) установку современной зарядной инфраструктуры, а также компактных подстанций, в том числе модернизацию существующей подстанции, (iii) подключение депо к электросети, и (iv) частичн</w:t>
            </w:r>
            <w:r w:rsidR="00095466" w:rsidRPr="00587829">
              <w:rPr>
                <w:lang w:val="ru-RU"/>
              </w:rPr>
              <w:t>ую</w:t>
            </w:r>
            <w:r w:rsidRPr="00587829">
              <w:rPr>
                <w:lang w:val="ru-RU"/>
              </w:rPr>
              <w:t xml:space="preserve"> реконструкци</w:t>
            </w:r>
            <w:r w:rsidR="00095466" w:rsidRPr="00587829">
              <w:rPr>
                <w:lang w:val="ru-RU"/>
              </w:rPr>
              <w:t>ю</w:t>
            </w:r>
            <w:r w:rsidRPr="00587829">
              <w:rPr>
                <w:lang w:val="ru-RU"/>
              </w:rPr>
              <w:t xml:space="preserve"> покрытия. </w:t>
            </w:r>
            <w:r w:rsidR="00B43447" w:rsidRPr="00587829">
              <w:rPr>
                <w:lang w:val="ru-RU"/>
              </w:rPr>
              <w:t xml:space="preserve">В рамках реализации </w:t>
            </w:r>
            <w:r w:rsidRPr="00587829">
              <w:rPr>
                <w:lang w:val="ru-RU"/>
              </w:rPr>
              <w:t>Компонент</w:t>
            </w:r>
            <w:r w:rsidR="00B43447" w:rsidRPr="00587829">
              <w:rPr>
                <w:lang w:val="ru-RU"/>
              </w:rPr>
              <w:t>а</w:t>
            </w:r>
            <w:r w:rsidRPr="00587829">
              <w:rPr>
                <w:lang w:val="ru-RU"/>
              </w:rPr>
              <w:t xml:space="preserve"> 3 проекта </w:t>
            </w:r>
            <w:r w:rsidR="00B43447" w:rsidRPr="00587829">
              <w:rPr>
                <w:lang w:val="ru-RU"/>
              </w:rPr>
              <w:t xml:space="preserve">будет создан демонстрационный коридор протяженностью 3,7 км, на котором будут опробованы меры по развитию «зеленой» мобильности. Данные меры включают: (i) выделенную полосу для автобусов, (ii) качественные объекты для передвижения пешеходов и велосипедистов, (iii) объекты благоустройства общественных пространств, (iv) элементы организации дорожного движения, и (v) систему организации и управления парковками. Реализация пилотного </w:t>
            </w:r>
            <w:r w:rsidR="00095466" w:rsidRPr="00587829">
              <w:rPr>
                <w:lang w:val="ru-RU"/>
              </w:rPr>
              <w:t xml:space="preserve">«зеленого» </w:t>
            </w:r>
            <w:r w:rsidR="00B43447" w:rsidRPr="00587829">
              <w:rPr>
                <w:lang w:val="ru-RU"/>
              </w:rPr>
              <w:t xml:space="preserve">коридора мобильности нацелена на разработку типового решения для последующего воспроизведения в других районах Бишкека. Компонент 4 Проекта будет направлен на устойчивость функционирования системы автобусного транспорта в г. Бишкек за счет: (i) институциональной поддержки МГБ, </w:t>
            </w:r>
            <w:r w:rsidR="00095466" w:rsidRPr="00587829">
              <w:rPr>
                <w:lang w:val="ru-RU"/>
              </w:rPr>
              <w:t>БГТ</w:t>
            </w:r>
            <w:r w:rsidR="00B43447" w:rsidRPr="00587829">
              <w:rPr>
                <w:lang w:val="ru-RU"/>
              </w:rPr>
              <w:t xml:space="preserve"> и ГУОБДД; (ii) рекомендаций по развитию и оптимизации управления городской мобильностью, (iii) </w:t>
            </w:r>
            <w:r w:rsidR="00095466" w:rsidRPr="00587829">
              <w:rPr>
                <w:lang w:val="ru-RU"/>
              </w:rPr>
              <w:t xml:space="preserve">разработки </w:t>
            </w:r>
            <w:r w:rsidR="00B43447" w:rsidRPr="00587829">
              <w:rPr>
                <w:lang w:val="ru-RU"/>
              </w:rPr>
              <w:t>модел</w:t>
            </w:r>
            <w:r w:rsidR="00095466" w:rsidRPr="00587829">
              <w:rPr>
                <w:lang w:val="ru-RU"/>
              </w:rPr>
              <w:t>и</w:t>
            </w:r>
            <w:r w:rsidR="00B43447" w:rsidRPr="00587829">
              <w:rPr>
                <w:lang w:val="ru-RU"/>
              </w:rPr>
              <w:t xml:space="preserve"> транспортного спроса, (iv) </w:t>
            </w:r>
            <w:r w:rsidR="00095466" w:rsidRPr="00587829">
              <w:rPr>
                <w:lang w:val="ru-RU"/>
              </w:rPr>
              <w:t xml:space="preserve">составления </w:t>
            </w:r>
            <w:r w:rsidR="00B43447" w:rsidRPr="00587829">
              <w:rPr>
                <w:lang w:val="ru-RU"/>
              </w:rPr>
              <w:t>план оптимизации маршрутной сети автобусного транспорта</w:t>
            </w:r>
            <w:r w:rsidR="00095466" w:rsidRPr="00587829">
              <w:rPr>
                <w:lang w:val="ru-RU"/>
              </w:rPr>
              <w:t>,</w:t>
            </w:r>
            <w:r w:rsidR="00B43447" w:rsidRPr="00587829">
              <w:rPr>
                <w:lang w:val="ru-RU"/>
              </w:rPr>
              <w:t xml:space="preserve"> и (v) разработк</w:t>
            </w:r>
            <w:r w:rsidR="00095466" w:rsidRPr="00587829">
              <w:rPr>
                <w:lang w:val="ru-RU"/>
              </w:rPr>
              <w:t>и</w:t>
            </w:r>
            <w:r w:rsidR="00B43447" w:rsidRPr="00587829">
              <w:rPr>
                <w:lang w:val="ru-RU"/>
              </w:rPr>
              <w:t xml:space="preserve"> городской стратегии управления парковками.</w:t>
            </w:r>
          </w:p>
        </w:tc>
      </w:tr>
      <w:tr w:rsidR="00CA2212" w:rsidRPr="00095466" w14:paraId="1E5EB20B" w14:textId="77777777" w:rsidTr="00E67BF2">
        <w:trPr>
          <w:trHeight w:val="955"/>
        </w:trPr>
        <w:tc>
          <w:tcPr>
            <w:tcW w:w="93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89711E" w14:textId="0A6828B9" w:rsidR="00B634BC" w:rsidRPr="00587829" w:rsidRDefault="0041288D" w:rsidP="00B634BC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587829">
              <w:rPr>
                <w:rFonts w:cs="Arial"/>
                <w:b/>
                <w:bCs/>
                <w:szCs w:val="22"/>
                <w:lang w:val="ru-RU"/>
              </w:rPr>
              <w:lastRenderedPageBreak/>
              <w:t>Задач</w:t>
            </w:r>
            <w:r w:rsidR="002026E4">
              <w:rPr>
                <w:rFonts w:cs="Arial"/>
                <w:b/>
                <w:bCs/>
                <w:szCs w:val="22"/>
                <w:lang w:val="ru-RU"/>
              </w:rPr>
              <w:t>а</w:t>
            </w:r>
            <w:r w:rsidR="00B8038E" w:rsidRPr="00587829">
              <w:rPr>
                <w:rFonts w:cs="Arial"/>
                <w:b/>
                <w:bCs/>
                <w:szCs w:val="22"/>
                <w:lang w:val="ru-RU"/>
              </w:rPr>
              <w:t xml:space="preserve"> </w:t>
            </w:r>
            <w:r w:rsidRPr="00587829">
              <w:rPr>
                <w:rFonts w:cs="Arial"/>
                <w:b/>
                <w:bCs/>
                <w:szCs w:val="22"/>
                <w:lang w:val="ru-RU"/>
              </w:rPr>
              <w:t>/</w:t>
            </w:r>
            <w:r w:rsidR="002026E4">
              <w:rPr>
                <w:rFonts w:cs="Arial"/>
                <w:b/>
                <w:bCs/>
                <w:szCs w:val="22"/>
                <w:lang w:val="ru-RU"/>
              </w:rPr>
              <w:t xml:space="preserve"> ц</w:t>
            </w:r>
            <w:r w:rsidRPr="00587829">
              <w:rPr>
                <w:rFonts w:cs="Arial"/>
                <w:b/>
                <w:bCs/>
                <w:szCs w:val="22"/>
                <w:lang w:val="ru-RU"/>
              </w:rPr>
              <w:t>ел</w:t>
            </w:r>
            <w:r w:rsidR="002026E4">
              <w:rPr>
                <w:rFonts w:cs="Arial"/>
                <w:b/>
                <w:bCs/>
                <w:szCs w:val="22"/>
                <w:lang w:val="ru-RU"/>
              </w:rPr>
              <w:t>ь задания:</w:t>
            </w:r>
          </w:p>
          <w:p w14:paraId="25C5551B" w14:textId="41D8A4E2" w:rsidR="00CA2212" w:rsidRPr="00587829" w:rsidRDefault="00691BF0" w:rsidP="00095466">
            <w:pPr>
              <w:pStyle w:val="Default"/>
              <w:jc w:val="both"/>
              <w:rPr>
                <w:sz w:val="22"/>
                <w:szCs w:val="22"/>
              </w:rPr>
            </w:pPr>
            <w:r w:rsidRPr="00587829">
              <w:rPr>
                <w:sz w:val="22"/>
                <w:szCs w:val="22"/>
              </w:rPr>
              <w:t>Специалист</w:t>
            </w:r>
            <w:r w:rsidR="00B8038E" w:rsidRPr="00587829">
              <w:rPr>
                <w:sz w:val="22"/>
                <w:szCs w:val="22"/>
              </w:rPr>
              <w:t xml:space="preserve"> по </w:t>
            </w:r>
            <w:r w:rsidR="00095466" w:rsidRPr="00587829">
              <w:rPr>
                <w:sz w:val="22"/>
                <w:szCs w:val="22"/>
              </w:rPr>
              <w:t>экологическим защитным мерам</w:t>
            </w:r>
            <w:r w:rsidR="00B8038E" w:rsidRPr="00587829">
              <w:rPr>
                <w:sz w:val="22"/>
                <w:szCs w:val="22"/>
              </w:rPr>
              <w:t xml:space="preserve"> Отдела реализации проекта</w:t>
            </w:r>
            <w:r w:rsidRPr="00587829">
              <w:rPr>
                <w:sz w:val="22"/>
                <w:szCs w:val="22"/>
              </w:rPr>
              <w:t xml:space="preserve"> </w:t>
            </w:r>
            <w:r w:rsidR="00095466" w:rsidRPr="00587829">
              <w:rPr>
                <w:sz w:val="22"/>
                <w:szCs w:val="22"/>
              </w:rPr>
              <w:t>оказывает</w:t>
            </w:r>
            <w:r w:rsidRPr="00587829">
              <w:rPr>
                <w:sz w:val="22"/>
                <w:szCs w:val="22"/>
              </w:rPr>
              <w:t xml:space="preserve"> содействие ОРП в обеспечении </w:t>
            </w:r>
            <w:r w:rsidR="00095466" w:rsidRPr="00587829">
              <w:rPr>
                <w:sz w:val="22"/>
                <w:szCs w:val="22"/>
              </w:rPr>
              <w:t xml:space="preserve">реализации </w:t>
            </w:r>
            <w:r w:rsidRPr="00587829">
              <w:rPr>
                <w:sz w:val="22"/>
                <w:szCs w:val="22"/>
              </w:rPr>
              <w:t>Проект</w:t>
            </w:r>
            <w:r w:rsidR="00095466" w:rsidRPr="00587829">
              <w:rPr>
                <w:sz w:val="22"/>
                <w:szCs w:val="22"/>
              </w:rPr>
              <w:t>а</w:t>
            </w:r>
            <w:r w:rsidRPr="00587829">
              <w:rPr>
                <w:sz w:val="22"/>
                <w:szCs w:val="22"/>
              </w:rPr>
              <w:t xml:space="preserve"> в соответствии с</w:t>
            </w:r>
            <w:r w:rsidR="002026E4">
              <w:rPr>
                <w:sz w:val="22"/>
                <w:szCs w:val="22"/>
              </w:rPr>
              <w:t>:</w:t>
            </w:r>
            <w:r w:rsidRPr="00587829">
              <w:rPr>
                <w:sz w:val="22"/>
                <w:szCs w:val="22"/>
              </w:rPr>
              <w:t xml:space="preserve"> требованиями Положения АБР о политике по защитным мерам </w:t>
            </w:r>
            <w:r w:rsidR="00095466" w:rsidRPr="00587829">
              <w:rPr>
                <w:sz w:val="22"/>
                <w:szCs w:val="22"/>
              </w:rPr>
              <w:t>(</w:t>
            </w:r>
            <w:r w:rsidRPr="00587829">
              <w:rPr>
                <w:sz w:val="22"/>
                <w:szCs w:val="22"/>
              </w:rPr>
              <w:t>2009</w:t>
            </w:r>
            <w:r w:rsidR="00095466" w:rsidRPr="00587829">
              <w:rPr>
                <w:sz w:val="22"/>
                <w:szCs w:val="22"/>
              </w:rPr>
              <w:t xml:space="preserve"> г.)</w:t>
            </w:r>
            <w:r w:rsidRPr="00587829">
              <w:rPr>
                <w:sz w:val="22"/>
                <w:szCs w:val="22"/>
              </w:rPr>
              <w:t xml:space="preserve">, </w:t>
            </w:r>
            <w:r w:rsidR="00095466" w:rsidRPr="00587829">
              <w:rPr>
                <w:sz w:val="22"/>
                <w:szCs w:val="22"/>
              </w:rPr>
              <w:t>действующего</w:t>
            </w:r>
            <w:r w:rsidRPr="00587829">
              <w:rPr>
                <w:sz w:val="22"/>
                <w:szCs w:val="22"/>
              </w:rPr>
              <w:t xml:space="preserve"> законо</w:t>
            </w:r>
            <w:r w:rsidR="00095466" w:rsidRPr="00587829">
              <w:rPr>
                <w:sz w:val="22"/>
                <w:szCs w:val="22"/>
              </w:rPr>
              <w:t>дательства</w:t>
            </w:r>
            <w:r w:rsidRPr="00587829">
              <w:rPr>
                <w:sz w:val="22"/>
                <w:szCs w:val="22"/>
              </w:rPr>
              <w:t xml:space="preserve"> и нормативных актов </w:t>
            </w:r>
            <w:r w:rsidR="00095466" w:rsidRPr="00587829">
              <w:rPr>
                <w:sz w:val="22"/>
                <w:szCs w:val="22"/>
              </w:rPr>
              <w:t xml:space="preserve">Кыргызской Республики </w:t>
            </w:r>
            <w:r w:rsidRPr="00587829">
              <w:rPr>
                <w:sz w:val="22"/>
                <w:szCs w:val="22"/>
              </w:rPr>
              <w:t>в области охраны окружающей среды, одобренн</w:t>
            </w:r>
            <w:r w:rsidR="00095466" w:rsidRPr="00587829">
              <w:rPr>
                <w:sz w:val="22"/>
                <w:szCs w:val="22"/>
              </w:rPr>
              <w:t>ого</w:t>
            </w:r>
            <w:r w:rsidRPr="00587829">
              <w:rPr>
                <w:sz w:val="22"/>
                <w:szCs w:val="22"/>
              </w:rPr>
              <w:t xml:space="preserve"> Первоначальн</w:t>
            </w:r>
            <w:r w:rsidR="00095466" w:rsidRPr="00587829">
              <w:rPr>
                <w:sz w:val="22"/>
                <w:szCs w:val="22"/>
              </w:rPr>
              <w:t>ого</w:t>
            </w:r>
            <w:r w:rsidRPr="00587829">
              <w:rPr>
                <w:sz w:val="22"/>
                <w:szCs w:val="22"/>
              </w:rPr>
              <w:t xml:space="preserve"> экологическ</w:t>
            </w:r>
            <w:r w:rsidR="00095466" w:rsidRPr="00587829">
              <w:rPr>
                <w:sz w:val="22"/>
                <w:szCs w:val="22"/>
              </w:rPr>
              <w:t>ого</w:t>
            </w:r>
            <w:r w:rsidRPr="00587829">
              <w:rPr>
                <w:sz w:val="22"/>
                <w:szCs w:val="22"/>
              </w:rPr>
              <w:t xml:space="preserve"> обследовани</w:t>
            </w:r>
            <w:r w:rsidR="00095466" w:rsidRPr="00587829">
              <w:rPr>
                <w:sz w:val="22"/>
                <w:szCs w:val="22"/>
              </w:rPr>
              <w:t>я</w:t>
            </w:r>
            <w:r w:rsidRPr="00587829">
              <w:rPr>
                <w:sz w:val="22"/>
                <w:szCs w:val="22"/>
              </w:rPr>
              <w:t xml:space="preserve"> (ПЭО), План</w:t>
            </w:r>
            <w:r w:rsidR="00095466" w:rsidRPr="00587829">
              <w:rPr>
                <w:sz w:val="22"/>
                <w:szCs w:val="22"/>
              </w:rPr>
              <w:t>а</w:t>
            </w:r>
            <w:r w:rsidRPr="00587829">
              <w:rPr>
                <w:sz w:val="22"/>
                <w:szCs w:val="22"/>
              </w:rPr>
              <w:t xml:space="preserve"> управления окружающей средой (ПУОС), </w:t>
            </w:r>
            <w:r w:rsidR="00095466" w:rsidRPr="00587829">
              <w:rPr>
                <w:sz w:val="22"/>
                <w:szCs w:val="22"/>
              </w:rPr>
              <w:t xml:space="preserve">а также с </w:t>
            </w:r>
            <w:r w:rsidRPr="00587829">
              <w:rPr>
                <w:sz w:val="22"/>
                <w:szCs w:val="22"/>
              </w:rPr>
              <w:t>требования</w:t>
            </w:r>
            <w:r w:rsidR="00095466" w:rsidRPr="00587829">
              <w:rPr>
                <w:sz w:val="22"/>
                <w:szCs w:val="22"/>
              </w:rPr>
              <w:t>ми</w:t>
            </w:r>
            <w:r w:rsidRPr="00587829">
              <w:rPr>
                <w:sz w:val="22"/>
                <w:szCs w:val="22"/>
              </w:rPr>
              <w:t xml:space="preserve"> контрактов и </w:t>
            </w:r>
            <w:r w:rsidR="00095466" w:rsidRPr="00587829">
              <w:rPr>
                <w:sz w:val="22"/>
                <w:szCs w:val="22"/>
              </w:rPr>
              <w:t>ины</w:t>
            </w:r>
            <w:r w:rsidR="002026E4">
              <w:rPr>
                <w:sz w:val="22"/>
                <w:szCs w:val="22"/>
              </w:rPr>
              <w:t xml:space="preserve">х </w:t>
            </w:r>
            <w:r w:rsidRPr="00587829">
              <w:rPr>
                <w:sz w:val="22"/>
                <w:szCs w:val="22"/>
              </w:rPr>
              <w:t>проектны</w:t>
            </w:r>
            <w:r w:rsidR="002026E4">
              <w:rPr>
                <w:sz w:val="22"/>
                <w:szCs w:val="22"/>
              </w:rPr>
              <w:t>х</w:t>
            </w:r>
            <w:r w:rsidRPr="00587829">
              <w:rPr>
                <w:sz w:val="22"/>
                <w:szCs w:val="22"/>
              </w:rPr>
              <w:t xml:space="preserve"> документ</w:t>
            </w:r>
            <w:r w:rsidR="002026E4">
              <w:rPr>
                <w:sz w:val="22"/>
                <w:szCs w:val="22"/>
              </w:rPr>
              <w:t>ов.</w:t>
            </w:r>
            <w:r w:rsidRPr="00587829">
              <w:rPr>
                <w:sz w:val="22"/>
                <w:szCs w:val="22"/>
              </w:rPr>
              <w:t xml:space="preserve"> </w:t>
            </w:r>
          </w:p>
        </w:tc>
      </w:tr>
      <w:tr w:rsidR="009C2D93" w:rsidRPr="00095466" w14:paraId="6DDFD651" w14:textId="77777777" w:rsidTr="00B8038E">
        <w:tc>
          <w:tcPr>
            <w:tcW w:w="9350" w:type="dxa"/>
            <w:gridSpan w:val="6"/>
            <w:tcBorders>
              <w:top w:val="single" w:sz="4" w:space="0" w:color="auto"/>
            </w:tcBorders>
          </w:tcPr>
          <w:p w14:paraId="31E1238B" w14:textId="224089AE" w:rsidR="006D240C" w:rsidRPr="002026E4" w:rsidRDefault="00B8038E" w:rsidP="006D24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ru-RU"/>
              </w:rPr>
            </w:pPr>
            <w:r w:rsidRPr="002026E4">
              <w:rPr>
                <w:rFonts w:cs="Arial"/>
                <w:b/>
                <w:bCs/>
                <w:szCs w:val="22"/>
                <w:lang w:val="ru-RU"/>
              </w:rPr>
              <w:t>Объем работы</w:t>
            </w:r>
            <w:r w:rsidR="006D240C" w:rsidRPr="002026E4">
              <w:rPr>
                <w:rFonts w:cs="Arial"/>
                <w:b/>
                <w:bCs/>
                <w:szCs w:val="22"/>
                <w:lang w:val="ru-RU"/>
              </w:rPr>
              <w:t>:</w:t>
            </w:r>
          </w:p>
          <w:p w14:paraId="2D29931E" w14:textId="6DAD0FCF" w:rsidR="00691BF0" w:rsidRPr="002026E4" w:rsidRDefault="00B8038E" w:rsidP="0041288D">
            <w:pPr>
              <w:rPr>
                <w:rFonts w:cs="Arial"/>
                <w:szCs w:val="22"/>
                <w:lang w:val="ru-RU"/>
              </w:rPr>
            </w:pPr>
            <w:r w:rsidRPr="002026E4">
              <w:rPr>
                <w:rFonts w:cs="Arial"/>
                <w:szCs w:val="22"/>
                <w:lang w:val="ru-RU"/>
              </w:rPr>
              <w:t xml:space="preserve">Обязанности Специалиста по </w:t>
            </w:r>
            <w:r w:rsidR="00095466" w:rsidRPr="002026E4">
              <w:rPr>
                <w:szCs w:val="22"/>
                <w:lang w:val="ru-RU"/>
              </w:rPr>
              <w:t>экологическим защитным мерам, в частности,</w:t>
            </w:r>
            <w:r w:rsidR="00095466" w:rsidRPr="002026E4">
              <w:rPr>
                <w:rFonts w:cs="Arial"/>
                <w:szCs w:val="22"/>
                <w:lang w:val="ru-RU"/>
              </w:rPr>
              <w:t xml:space="preserve"> включают следующие направления:</w:t>
            </w:r>
          </w:p>
          <w:p w14:paraId="6A80CF62" w14:textId="77FC559F" w:rsidR="00691BF0" w:rsidRPr="002026E4" w:rsidRDefault="00691BF0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Обеспечивает реализацию экологических защитных мер в соответствии с Положением о политике по защитным мерам (SPS) Азиатского банка развития, 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>кредитным и грантовым соглашениями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, Руководством по администрированию проекта и соответствующими разрешительными документами, предусмотренными законом;</w:t>
            </w:r>
          </w:p>
          <w:p w14:paraId="6AA0E3C7" w14:textId="55C4E784" w:rsidR="00691BF0" w:rsidRPr="002026E4" w:rsidRDefault="00691BF0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Регулярно предоставляет 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>Д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иректору ОРП информацию о соблюдении защитных мер, проблемах/вопросах, пробелах в реализации, приводящих к несоблюдению или неудовлетворительной реализации мер, а также о рекомендуемых действиях;</w:t>
            </w:r>
          </w:p>
          <w:p w14:paraId="45250256" w14:textId="0F454CAB" w:rsidR="00691BF0" w:rsidRPr="002026E4" w:rsidRDefault="00095466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Обеспечивает подготовку</w:t>
            </w:r>
            <w:r w:rsidR="00691BF0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нов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ого</w:t>
            </w:r>
            <w:r w:rsidR="00691BF0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документ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691BF0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ПЭО/IEE на основе подробных инженерных проектов и рекомендаций технических исследований для «зеленого» коридора мобильности,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а также</w:t>
            </w:r>
            <w:r w:rsidR="00691BF0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координирует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его </w:t>
            </w:r>
            <w:r w:rsidR="00691BF0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с КСН до подачи в АБР. </w:t>
            </w:r>
          </w:p>
          <w:p w14:paraId="779735F3" w14:textId="77777777" w:rsidR="00691BF0" w:rsidRPr="002026E4" w:rsidRDefault="00691BF0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Проверяет и обеспечивает качество обновленного/окончательного ПЭО/IEE и представляет его в АБР для утверждения и публикации на веб-сайте АБР.</w:t>
            </w:r>
          </w:p>
          <w:p w14:paraId="6991123F" w14:textId="00EF88E4" w:rsidR="00C92D39" w:rsidRPr="002026E4" w:rsidRDefault="00C92D39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Обеспечивает раскрытие утвержд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нного ПЭО/IEE на вебсайтах ОРП, а также размещение соответствующей информации в общественно доступных местах в форме, понятной для местного населения. </w:t>
            </w:r>
          </w:p>
          <w:p w14:paraId="3BD4CA29" w14:textId="618FED57" w:rsidR="00691BF0" w:rsidRPr="002026E4" w:rsidRDefault="00691BF0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Обеспечивает получение всех необходимых разрешительных документов, справок об отсутствии претензий и т. д. до начала работ и соблюдение положений и условий в ходе реализации.</w:t>
            </w:r>
          </w:p>
          <w:p w14:paraId="03DFA5EF" w14:textId="535E1FDD" w:rsidR="00C92D39" w:rsidRPr="002026E4" w:rsidRDefault="00691BF0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Организовывает ознакомительный семинар для сотрудников ОРП, КСН и подрядчиков, участвующих в реализации проекта, по следующим вопросам: (a) 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>Положение о политике по защитным мерам АБР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, (b), законы и нормативные акты Кыргызской Республики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в области охраны окружающей среды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, (c) основные трудовые стандарты, (d) охрана труда и техника безопасности (ОТиТБ), (e) реализация ПУОС, особенно обращение с отходами, работа в густонаселенных районах, связи с общественностью и постоянные консультации, </w:t>
            </w:r>
            <w:r w:rsidR="00C92D39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механизм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рассмотрени</w:t>
            </w:r>
            <w:r w:rsidR="00C92D39" w:rsidRPr="002026E4"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жалоб и т. д.</w:t>
            </w:r>
          </w:p>
          <w:p w14:paraId="4A2E4D68" w14:textId="1D2D391B" w:rsidR="00C92D39" w:rsidRPr="002026E4" w:rsidRDefault="00C92D39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 w:eastAsia="en-US"/>
              </w:rPr>
              <w:t>Обеспечивает включение ПЭО и ПУОС в тендерную документацию и контракты;</w:t>
            </w:r>
          </w:p>
          <w:p w14:paraId="585F60EE" w14:textId="048ACF13" w:rsidR="00C92D39" w:rsidRPr="002026E4" w:rsidRDefault="00C92D39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Оказывать содействие в подготовке и оценке тендерной документации на строительство с целью обеспечения включения мер по смягчению воздействия, предусмотренных в ПЭО и ПУОС, а также иных требований, 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в том числе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наличие у подрядчика персонала и бюджета, необходимых для соблюдения требований в области охраны окружающей среды, здоровья и безопасности (EHS).</w:t>
            </w:r>
          </w:p>
          <w:p w14:paraId="433ABD42" w14:textId="77777777" w:rsidR="00C92D39" w:rsidRPr="002026E4" w:rsidRDefault="00C92D39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Обеспечивает объяснения участникам тендера положений ПУОС и требований по соблюдению (i) ПЭО; (ii) соглашения/условий о предоставлении кредита/гранта и (iii) Руководства по администрированию проекта на предтендерном совещании и при заключении контракта;</w:t>
            </w:r>
          </w:p>
          <w:p w14:paraId="0EBD3E5A" w14:textId="77777777" w:rsidR="00C92D39" w:rsidRPr="002026E4" w:rsidRDefault="005545CC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Обеспечивает, чтобы</w:t>
            </w:r>
            <w:r w:rsidR="00436773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в </w:t>
            </w:r>
            <w:r w:rsidR="00C92D39" w:rsidRPr="002026E4">
              <w:rPr>
                <w:rFonts w:ascii="Arial" w:hAnsi="Arial" w:cs="Arial"/>
                <w:sz w:val="22"/>
                <w:szCs w:val="22"/>
                <w:lang w:val="ru-RU"/>
              </w:rPr>
              <w:t>конкурсных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36773" w:rsidRPr="002026E4">
              <w:rPr>
                <w:rFonts w:ascii="Arial" w:hAnsi="Arial" w:cs="Arial"/>
                <w:sz w:val="22"/>
                <w:szCs w:val="22"/>
                <w:lang w:val="ru-RU"/>
              </w:rPr>
              <w:t>заявк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ах закладывались </w:t>
            </w:r>
            <w:r w:rsidR="00436773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достаточные </w:t>
            </w:r>
            <w:r w:rsidR="00C92D39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финансовые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средства </w:t>
            </w:r>
            <w:r w:rsidR="00436773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и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количество сотрудников </w:t>
            </w:r>
            <w:r w:rsidR="00436773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для реализации экологических </w:t>
            </w:r>
            <w:r w:rsidR="00C92D39" w:rsidRPr="002026E4">
              <w:rPr>
                <w:rFonts w:ascii="Arial" w:hAnsi="Arial" w:cs="Arial"/>
                <w:sz w:val="22"/>
                <w:szCs w:val="22"/>
                <w:lang w:val="ru-RU"/>
              </w:rPr>
              <w:t>защитных мер при</w:t>
            </w:r>
            <w:r w:rsidR="00436773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содействии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КС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>Н</w:t>
            </w:r>
            <w:r w:rsidR="00436773" w:rsidRPr="002026E4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14:paraId="40BE0679" w14:textId="2B4CBECD" w:rsidR="00C92D39" w:rsidRPr="002026E4" w:rsidRDefault="00EC390D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Проводит ознакомление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подрядчиков и субподрядчиков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92D39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защитных 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>мера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х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до начала работ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с тем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>, чтобы подготовить их к реализации ПУОС</w:t>
            </w:r>
            <w:r w:rsidR="00C92D39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/ПУОС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для конкретного участка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(SSEMP)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и о 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>требования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х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экологического мониторинга; прин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имает 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>незамедлительны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е 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>мер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ы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по устранению непредвиденных неблагоприятных воздействий или неэффективных мер по смягчению последствий,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выявленных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в ходе реализации;</w:t>
            </w:r>
          </w:p>
          <w:p w14:paraId="46B2A164" w14:textId="7701FC78" w:rsidR="00C92D39" w:rsidRPr="002026E4" w:rsidRDefault="005545CC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Координир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ует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КСН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проведение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необходимы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>х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экологическ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исследовани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>й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и 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составление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отчет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>ов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в соответствии с </w:t>
            </w:r>
            <w:r w:rsidR="00C92D39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РАП, ПЭО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или в соответствии с требованиями 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Положения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АБР и/или 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>государственных органов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КР;</w:t>
            </w:r>
          </w:p>
          <w:p w14:paraId="6C3AA8CA" w14:textId="1895DEF6" w:rsidR="00C92D39" w:rsidRPr="002026E4" w:rsidRDefault="00C92D39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Проверяет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и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согласов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ывает ПУОС 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подрядчика </w:t>
            </w:r>
            <w:r w:rsidR="00EC390D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для конкретного участка 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и 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>проверяет исходное состояние строительной площадки до начала работ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14:paraId="26BC1424" w14:textId="3533A157" w:rsidR="00C92D39" w:rsidRPr="002026E4" w:rsidRDefault="00C92D39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Ведет учет документации, связанной с EHS и жалобами/претензиями, в соответствии с требованиями АБР и соответствующих государственных органов; </w:t>
            </w:r>
          </w:p>
          <w:p w14:paraId="2C1A91D6" w14:textId="77777777" w:rsidR="00C92D39" w:rsidRPr="002026E4" w:rsidRDefault="00C92D39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Взаимодействует с заинтересованными сторонами и проводит конструктивные консультации с затронутыми лицами в рамках подготовки/ окончательной доработки ПЭО и на протяжении всего периода реализации проекта;</w:t>
            </w:r>
          </w:p>
          <w:p w14:paraId="31F598A8" w14:textId="77777777" w:rsidR="00C92D39" w:rsidRPr="002026E4" w:rsidRDefault="00C92D39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Своевременно рассматривает любые жалобы, поступившие через систему рассмотрения жалоб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14:paraId="20AA6326" w14:textId="77777777" w:rsidR="00C92D39" w:rsidRPr="002026E4" w:rsidRDefault="00371F8A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Дает указания и 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>инструктир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ует КСН 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по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вопросам 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>подготовк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ежедневных контрольных </w:t>
            </w:r>
            <w:r w:rsidR="00C92D39" w:rsidRPr="002026E4">
              <w:rPr>
                <w:rFonts w:ascii="Arial" w:hAnsi="Arial" w:cs="Arial"/>
                <w:sz w:val="22"/>
                <w:szCs w:val="22"/>
                <w:lang w:val="ru-RU"/>
              </w:rPr>
              <w:t>перечней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и разработк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руководящих указаний по передовой практике для оказания 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содействия</w:t>
            </w:r>
            <w:r w:rsidR="005545CC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подрядчикам в реализации положений ПЭО и ПУОС;</w:t>
            </w:r>
          </w:p>
          <w:p w14:paraId="2E915F02" w14:textId="77777777" w:rsidR="00C92D39" w:rsidRPr="002026E4" w:rsidRDefault="00371F8A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Координирует с КСН и подрядчиками вопросы осуществления экологического мониторинга и предоставления отчетности в предпроектный, строительный и после</w:t>
            </w:r>
            <w:r w:rsidR="009A6975" w:rsidRPr="002026E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проектный периоды;</w:t>
            </w:r>
          </w:p>
          <w:p w14:paraId="553563EF" w14:textId="5A126713" w:rsidR="00C92D39" w:rsidRPr="002026E4" w:rsidRDefault="00371F8A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Рассматривает направляемые КСН и подрядчиками документы и обеспечивает их надлежащее качество и удовлетворительное содержание до подачи в АБР и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государственные органы;</w:t>
            </w:r>
          </w:p>
          <w:p w14:paraId="3FF71776" w14:textId="77777777" w:rsidR="00C92D39" w:rsidRPr="002026E4" w:rsidRDefault="00C92D39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Готовит полугодовые отчеты по мониторингу и отражает экологические вопросы в квартальных отчетах о ходе реализации проекта; </w:t>
            </w:r>
          </w:p>
          <w:p w14:paraId="2B014896" w14:textId="6B1DD324" w:rsidR="00C92D39" w:rsidRPr="002026E4" w:rsidRDefault="00C92D39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>Готовит план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>ы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корректирующих мероприятий с указанием сроков и обеспечивает </w:t>
            </w:r>
            <w:r w:rsidR="00095466" w:rsidRPr="002026E4"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 своевременное выполнение;</w:t>
            </w:r>
          </w:p>
          <w:p w14:paraId="76302E2B" w14:textId="2D1F7612" w:rsidR="00C92D39" w:rsidRPr="002026E4" w:rsidRDefault="00C92D39" w:rsidP="00095466">
            <w:pPr>
              <w:pStyle w:val="afe"/>
              <w:numPr>
                <w:ilvl w:val="0"/>
                <w:numId w:val="40"/>
              </w:numPr>
              <w:spacing w:before="0" w:beforeAutospacing="0" w:after="0" w:afterAutospacing="0"/>
              <w:ind w:left="1163" w:hanging="850"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026E4">
              <w:rPr>
                <w:rFonts w:ascii="Arial" w:hAnsi="Arial" w:cs="Arial"/>
                <w:sz w:val="22"/>
                <w:szCs w:val="22"/>
                <w:lang w:val="ru-RU"/>
              </w:rPr>
              <w:t xml:space="preserve">Информирует Директора ОРП и АБР о любых несчастных случаях на рабочем месте на участках проекта, и координирует с сотрудниками подрядчика действия по EHS для принятия корректирующих мероприятий; </w:t>
            </w:r>
          </w:p>
          <w:p w14:paraId="1E2BEDFD" w14:textId="22C2F83F" w:rsidR="00C92D39" w:rsidRPr="002026E4" w:rsidRDefault="00C92D39" w:rsidP="00095466">
            <w:pPr>
              <w:numPr>
                <w:ilvl w:val="0"/>
                <w:numId w:val="40"/>
              </w:numPr>
              <w:ind w:left="1163" w:hanging="850"/>
              <w:rPr>
                <w:rFonts w:cs="Arial"/>
                <w:szCs w:val="22"/>
                <w:lang w:val="ru-RU"/>
              </w:rPr>
            </w:pPr>
            <w:r w:rsidRPr="002026E4">
              <w:rPr>
                <w:rFonts w:cs="Arial"/>
                <w:szCs w:val="22"/>
                <w:lang w:val="ru-RU"/>
              </w:rPr>
              <w:t xml:space="preserve">Координирует с КСН осуществление ежедневного надзора и мониторинга выполнения подрядчиком </w:t>
            </w:r>
            <w:r w:rsidR="00095466" w:rsidRPr="002026E4">
              <w:rPr>
                <w:rFonts w:cs="Arial"/>
                <w:szCs w:val="22"/>
                <w:lang w:val="ru-RU"/>
              </w:rPr>
              <w:t>SSEMP</w:t>
            </w:r>
            <w:r w:rsidRPr="002026E4">
              <w:rPr>
                <w:rFonts w:cs="Arial"/>
                <w:szCs w:val="22"/>
                <w:lang w:val="ru-RU"/>
              </w:rPr>
              <w:t>;</w:t>
            </w:r>
          </w:p>
          <w:p w14:paraId="300C201F" w14:textId="0424BE58" w:rsidR="00C92D39" w:rsidRPr="002026E4" w:rsidRDefault="00C92D39" w:rsidP="00095466">
            <w:pPr>
              <w:numPr>
                <w:ilvl w:val="0"/>
                <w:numId w:val="40"/>
              </w:numPr>
              <w:ind w:left="1163" w:hanging="850"/>
              <w:rPr>
                <w:rFonts w:cs="Arial"/>
                <w:szCs w:val="22"/>
                <w:lang w:val="ru-RU"/>
              </w:rPr>
            </w:pPr>
            <w:r w:rsidRPr="002026E4">
              <w:rPr>
                <w:rFonts w:cs="Arial"/>
                <w:szCs w:val="22"/>
                <w:lang w:val="ru-RU"/>
              </w:rPr>
              <w:t>Участвует во всех встречах по проекту между ОРП, КСН и Подрядчиком для обсуждения вопросов соблюдения требований EHS, и других проблем, вопросов, случаев несоблюдения требований, принятия корректирующих мероприятий и актуальной информации о проекте;</w:t>
            </w:r>
          </w:p>
          <w:p w14:paraId="725630AF" w14:textId="403E3FF6" w:rsidR="00C92D39" w:rsidRPr="002026E4" w:rsidRDefault="00C92D39" w:rsidP="00095466">
            <w:pPr>
              <w:numPr>
                <w:ilvl w:val="0"/>
                <w:numId w:val="40"/>
              </w:numPr>
              <w:ind w:left="1163" w:hanging="850"/>
              <w:rPr>
                <w:rFonts w:cs="Arial"/>
                <w:szCs w:val="22"/>
                <w:lang w:val="ru-RU"/>
              </w:rPr>
            </w:pPr>
            <w:r w:rsidRPr="002026E4">
              <w:rPr>
                <w:rFonts w:cs="Arial"/>
                <w:szCs w:val="22"/>
                <w:lang w:val="ru-RU"/>
              </w:rPr>
              <w:t xml:space="preserve">Выдает разрешения на проведение подрядчиком </w:t>
            </w:r>
            <w:r w:rsidR="00095466" w:rsidRPr="002026E4">
              <w:rPr>
                <w:rFonts w:cs="Arial"/>
                <w:szCs w:val="22"/>
                <w:lang w:val="ru-RU"/>
              </w:rPr>
              <w:t>мероприятий</w:t>
            </w:r>
            <w:r w:rsidRPr="002026E4">
              <w:rPr>
                <w:rFonts w:cs="Arial"/>
                <w:szCs w:val="22"/>
                <w:lang w:val="ru-RU"/>
              </w:rPr>
              <w:t xml:space="preserve"> после завершения строительства, как указано в ПУОС/SSEMP;</w:t>
            </w:r>
          </w:p>
          <w:p w14:paraId="3A5B02D7" w14:textId="77777777" w:rsidR="00C92D39" w:rsidRPr="002026E4" w:rsidRDefault="00C92D39" w:rsidP="00095466">
            <w:pPr>
              <w:numPr>
                <w:ilvl w:val="0"/>
                <w:numId w:val="40"/>
              </w:numPr>
              <w:ind w:left="1163" w:hanging="850"/>
              <w:rPr>
                <w:rFonts w:cs="Arial"/>
                <w:szCs w:val="22"/>
                <w:lang w:val="ru-RU"/>
              </w:rPr>
            </w:pPr>
            <w:r w:rsidRPr="002026E4">
              <w:rPr>
                <w:rFonts w:cs="Arial"/>
                <w:szCs w:val="22"/>
                <w:lang w:val="ru-RU"/>
              </w:rPr>
              <w:t>Поддерживает связь с органами по охране окружающей среды и заинтересованными сторонами проекта; и</w:t>
            </w:r>
          </w:p>
          <w:p w14:paraId="2CDE140D" w14:textId="3441FAA7" w:rsidR="00C92D39" w:rsidRPr="002026E4" w:rsidRDefault="00C92D39" w:rsidP="00095466">
            <w:pPr>
              <w:numPr>
                <w:ilvl w:val="0"/>
                <w:numId w:val="40"/>
              </w:numPr>
              <w:ind w:left="1163" w:hanging="850"/>
              <w:rPr>
                <w:rFonts w:cs="Arial"/>
                <w:szCs w:val="22"/>
                <w:lang w:val="ru-RU"/>
              </w:rPr>
            </w:pPr>
            <w:r w:rsidRPr="002026E4">
              <w:rPr>
                <w:rFonts w:cs="Arial"/>
                <w:szCs w:val="22"/>
                <w:lang w:val="ru-RU"/>
              </w:rPr>
              <w:t>Выполняет другие задачи по указанию директора ОРП.</w:t>
            </w:r>
          </w:p>
          <w:p w14:paraId="34E8D50A" w14:textId="77777777" w:rsidR="00B634BC" w:rsidRPr="002026E4" w:rsidRDefault="00B634BC" w:rsidP="00095466">
            <w:pPr>
              <w:pStyle w:val="Default"/>
              <w:ind w:left="1163" w:hanging="850"/>
              <w:rPr>
                <w:color w:val="auto"/>
                <w:sz w:val="22"/>
                <w:szCs w:val="22"/>
                <w:lang w:eastAsia="en-US"/>
              </w:rPr>
            </w:pPr>
          </w:p>
          <w:p w14:paraId="7F1D96CF" w14:textId="77777777" w:rsidR="002026E4" w:rsidRDefault="009A6975" w:rsidP="002026E4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Cs w:val="22"/>
                <w:lang w:val="ru-RU"/>
              </w:rPr>
            </w:pPr>
            <w:r w:rsidRPr="002026E4">
              <w:rPr>
                <w:rFonts w:cs="Arial"/>
                <w:b/>
                <w:bCs/>
                <w:szCs w:val="22"/>
                <w:lang w:val="ru-RU"/>
              </w:rPr>
              <w:t>Условия работы</w:t>
            </w:r>
            <w:r w:rsidR="00834D22" w:rsidRPr="002026E4">
              <w:rPr>
                <w:rFonts w:cs="Arial"/>
                <w:b/>
                <w:bCs/>
                <w:szCs w:val="22"/>
                <w:lang w:val="ru-RU"/>
              </w:rPr>
              <w:t>:</w:t>
            </w:r>
          </w:p>
          <w:p w14:paraId="75F37CF3" w14:textId="185E9241" w:rsidR="00834D22" w:rsidRPr="002026E4" w:rsidRDefault="009A6975" w:rsidP="002026E4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Cs w:val="22"/>
                <w:lang w:val="ru-RU"/>
              </w:rPr>
            </w:pPr>
            <w:r w:rsidRPr="002026E4">
              <w:rPr>
                <w:rFonts w:cs="Arial"/>
                <w:szCs w:val="22"/>
                <w:lang w:val="ru-RU"/>
              </w:rPr>
              <w:t xml:space="preserve">Специалист по </w:t>
            </w:r>
            <w:r w:rsidR="00095466" w:rsidRPr="002026E4">
              <w:rPr>
                <w:rFonts w:cs="Arial"/>
                <w:szCs w:val="22"/>
                <w:lang w:val="ru-RU"/>
              </w:rPr>
              <w:t>экологическим защитным мерам</w:t>
            </w:r>
            <w:r w:rsidRPr="002026E4">
              <w:rPr>
                <w:rFonts w:cs="Arial"/>
                <w:szCs w:val="22"/>
                <w:lang w:val="ru-RU"/>
              </w:rPr>
              <w:t xml:space="preserve"> будет работать в офисе ОРП в г.</w:t>
            </w:r>
            <w:r w:rsidR="00F51100" w:rsidRPr="002026E4">
              <w:rPr>
                <w:rFonts w:cs="Arial"/>
                <w:szCs w:val="22"/>
                <w:lang w:val="ru-RU"/>
              </w:rPr>
              <w:t xml:space="preserve"> </w:t>
            </w:r>
            <w:r w:rsidRPr="002026E4">
              <w:rPr>
                <w:rFonts w:cs="Arial"/>
                <w:szCs w:val="22"/>
                <w:lang w:val="ru-RU"/>
              </w:rPr>
              <w:t>Бишкек</w:t>
            </w:r>
            <w:r w:rsidR="002C1DEA" w:rsidRPr="002026E4">
              <w:rPr>
                <w:rFonts w:cs="Arial"/>
                <w:szCs w:val="22"/>
                <w:lang w:val="ru-RU"/>
              </w:rPr>
              <w:t xml:space="preserve">, предоставленном </w:t>
            </w:r>
            <w:r w:rsidR="009C4E35" w:rsidRPr="002026E4">
              <w:rPr>
                <w:rFonts w:cs="Arial"/>
                <w:szCs w:val="22"/>
                <w:lang w:val="ru-RU"/>
              </w:rPr>
              <w:t>И</w:t>
            </w:r>
            <w:r w:rsidR="00095466" w:rsidRPr="002026E4">
              <w:rPr>
                <w:rFonts w:cs="Arial"/>
                <w:szCs w:val="22"/>
                <w:lang w:val="ru-RU"/>
              </w:rPr>
              <w:t>сполнительным агентством</w:t>
            </w:r>
            <w:r w:rsidR="002C1DEA" w:rsidRPr="002026E4">
              <w:rPr>
                <w:rFonts w:cs="Arial"/>
                <w:szCs w:val="22"/>
                <w:lang w:val="ru-RU"/>
              </w:rPr>
              <w:t>/</w:t>
            </w:r>
            <w:r w:rsidR="00095466" w:rsidRPr="002026E4">
              <w:rPr>
                <w:rFonts w:cs="Arial"/>
                <w:szCs w:val="22"/>
                <w:lang w:val="ru-RU"/>
              </w:rPr>
              <w:t xml:space="preserve"> Реализующим агентством</w:t>
            </w:r>
            <w:r w:rsidR="00834D22" w:rsidRPr="002026E4">
              <w:rPr>
                <w:rFonts w:cs="Arial"/>
                <w:szCs w:val="22"/>
                <w:lang w:val="ru-RU"/>
              </w:rPr>
              <w:t>.</w:t>
            </w:r>
          </w:p>
          <w:p w14:paraId="30488F51" w14:textId="1110DBDE" w:rsidR="00834D22" w:rsidRPr="002026E4" w:rsidRDefault="0041288D" w:rsidP="002026E4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Cs w:val="22"/>
                <w:lang w:val="ru-RU"/>
              </w:rPr>
            </w:pPr>
            <w:r w:rsidRPr="002026E4">
              <w:rPr>
                <w:rFonts w:cs="Arial"/>
                <w:b/>
                <w:bCs/>
                <w:szCs w:val="22"/>
                <w:lang w:val="ru-RU"/>
              </w:rPr>
              <w:t>Р</w:t>
            </w:r>
            <w:r w:rsidR="002C1DEA" w:rsidRPr="002026E4">
              <w:rPr>
                <w:rFonts w:cs="Arial"/>
                <w:b/>
                <w:bCs/>
                <w:szCs w:val="22"/>
                <w:lang w:val="ru-RU"/>
              </w:rPr>
              <w:t>езультаты / требования к отчетности</w:t>
            </w:r>
            <w:r w:rsidR="00834D22" w:rsidRPr="002026E4">
              <w:rPr>
                <w:rFonts w:cs="Arial"/>
                <w:b/>
                <w:bCs/>
                <w:szCs w:val="22"/>
                <w:lang w:val="ru-RU"/>
              </w:rPr>
              <w:t>:</w:t>
            </w:r>
          </w:p>
          <w:p w14:paraId="61CAE098" w14:textId="52D7B32D" w:rsidR="002C1DEA" w:rsidRPr="002026E4" w:rsidRDefault="002C1DEA" w:rsidP="002026E4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2"/>
                <w:lang w:val="ru-RU"/>
              </w:rPr>
            </w:pPr>
            <w:r w:rsidRPr="002026E4">
              <w:rPr>
                <w:rFonts w:cs="Arial"/>
                <w:szCs w:val="22"/>
                <w:lang w:val="ru-RU"/>
              </w:rPr>
              <w:t xml:space="preserve">Специалист </w:t>
            </w:r>
            <w:r w:rsidR="00095466" w:rsidRPr="002026E4">
              <w:rPr>
                <w:rFonts w:cs="Arial"/>
                <w:szCs w:val="22"/>
                <w:lang w:val="ru-RU"/>
              </w:rPr>
              <w:t xml:space="preserve">по экологическим защитным мерам </w:t>
            </w:r>
            <w:r w:rsidR="002026E4" w:rsidRPr="002026E4">
              <w:rPr>
                <w:szCs w:val="22"/>
                <w:lang w:val="ru-RU"/>
              </w:rPr>
              <w:t>будет преимущественно подотчетен</w:t>
            </w:r>
            <w:r w:rsidR="002026E4" w:rsidRPr="002026E4">
              <w:rPr>
                <w:rFonts w:cs="Arial"/>
                <w:szCs w:val="22"/>
                <w:lang w:val="ru-RU"/>
              </w:rPr>
              <w:t xml:space="preserve"> </w:t>
            </w:r>
            <w:r w:rsidRPr="002026E4">
              <w:rPr>
                <w:rFonts w:cs="Arial"/>
                <w:szCs w:val="22"/>
                <w:lang w:val="ru-RU"/>
              </w:rPr>
              <w:t>Директор</w:t>
            </w:r>
            <w:r w:rsidR="009C4E35" w:rsidRPr="002026E4">
              <w:rPr>
                <w:rFonts w:cs="Arial"/>
                <w:szCs w:val="22"/>
                <w:lang w:val="ru-RU"/>
              </w:rPr>
              <w:t>у</w:t>
            </w:r>
            <w:r w:rsidRPr="002026E4">
              <w:rPr>
                <w:rFonts w:cs="Arial"/>
                <w:szCs w:val="22"/>
                <w:lang w:val="ru-RU"/>
              </w:rPr>
              <w:t xml:space="preserve"> ОРП, в том числе </w:t>
            </w:r>
            <w:r w:rsidR="00095466" w:rsidRPr="002026E4">
              <w:rPr>
                <w:rFonts w:cs="Arial"/>
                <w:szCs w:val="22"/>
                <w:lang w:val="ru-RU"/>
              </w:rPr>
              <w:t xml:space="preserve">Реализующему агентству </w:t>
            </w:r>
            <w:r w:rsidRPr="002026E4">
              <w:rPr>
                <w:rFonts w:cs="Arial"/>
                <w:szCs w:val="22"/>
                <w:lang w:val="ru-RU"/>
              </w:rPr>
              <w:t xml:space="preserve">и АБР.  </w:t>
            </w:r>
          </w:p>
          <w:p w14:paraId="5411059C" w14:textId="66AC9737" w:rsidR="00834D22" w:rsidRPr="002026E4" w:rsidRDefault="002C1DEA" w:rsidP="002026E4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Cs w:val="22"/>
                <w:lang w:val="ru-RU"/>
              </w:rPr>
            </w:pPr>
            <w:r w:rsidRPr="002026E4">
              <w:rPr>
                <w:rFonts w:cs="Arial"/>
                <w:b/>
                <w:szCs w:val="22"/>
                <w:lang w:val="ru-RU"/>
              </w:rPr>
              <w:t>Срок назначения</w:t>
            </w:r>
            <w:r w:rsidR="00834D22" w:rsidRPr="002026E4">
              <w:rPr>
                <w:rFonts w:cs="Arial"/>
                <w:b/>
                <w:szCs w:val="22"/>
                <w:lang w:val="ru-RU"/>
              </w:rPr>
              <w:t>:</w:t>
            </w:r>
          </w:p>
          <w:p w14:paraId="1452428C" w14:textId="44FFDC43" w:rsidR="002C1DEA" w:rsidRPr="002026E4" w:rsidRDefault="00095466" w:rsidP="002026E4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2"/>
                <w:lang w:val="ru-RU"/>
              </w:rPr>
            </w:pPr>
            <w:r w:rsidRPr="002026E4">
              <w:rPr>
                <w:rFonts w:cs="Arial"/>
                <w:szCs w:val="22"/>
                <w:lang w:val="ru-RU"/>
              </w:rPr>
              <w:t>Эта д</w:t>
            </w:r>
            <w:r w:rsidR="002C1DEA" w:rsidRPr="002026E4">
              <w:rPr>
                <w:rFonts w:cs="Arial"/>
                <w:szCs w:val="22"/>
                <w:lang w:val="ru-RU"/>
              </w:rPr>
              <w:t xml:space="preserve">олжность предполагает частичную занятость и будет выполняться </w:t>
            </w:r>
            <w:r w:rsidRPr="002026E4">
              <w:rPr>
                <w:rFonts w:cs="Arial"/>
                <w:szCs w:val="22"/>
                <w:lang w:val="ru-RU"/>
              </w:rPr>
              <w:t>на протяжении</w:t>
            </w:r>
            <w:r w:rsidR="002C1DEA" w:rsidRPr="002026E4">
              <w:rPr>
                <w:rFonts w:cs="Arial"/>
                <w:szCs w:val="22"/>
                <w:lang w:val="ru-RU"/>
              </w:rPr>
              <w:t xml:space="preserve"> всего </w:t>
            </w:r>
            <w:r w:rsidRPr="002026E4">
              <w:rPr>
                <w:rFonts w:cs="Arial"/>
                <w:szCs w:val="22"/>
                <w:lang w:val="ru-RU"/>
              </w:rPr>
              <w:t>планового</w:t>
            </w:r>
            <w:r w:rsidR="002C1DEA" w:rsidRPr="002026E4">
              <w:rPr>
                <w:rFonts w:cs="Arial"/>
                <w:szCs w:val="22"/>
                <w:lang w:val="ru-RU"/>
              </w:rPr>
              <w:t xml:space="preserve"> периода реализации проекта. </w:t>
            </w:r>
            <w:r w:rsidRPr="002026E4">
              <w:rPr>
                <w:rFonts w:cs="Arial"/>
                <w:szCs w:val="22"/>
                <w:lang w:val="ru-RU"/>
              </w:rPr>
              <w:t xml:space="preserve">Первые </w:t>
            </w:r>
            <w:r w:rsidR="002C1DEA" w:rsidRPr="002026E4">
              <w:rPr>
                <w:rFonts w:cs="Arial"/>
                <w:szCs w:val="22"/>
                <w:lang w:val="ru-RU"/>
              </w:rPr>
              <w:t>три месяца</w:t>
            </w:r>
            <w:r w:rsidRPr="002026E4">
              <w:rPr>
                <w:rFonts w:cs="Arial"/>
                <w:szCs w:val="22"/>
                <w:lang w:val="ru-RU"/>
              </w:rPr>
              <w:t xml:space="preserve"> - испытательный срок.</w:t>
            </w:r>
          </w:p>
          <w:p w14:paraId="651D74A6" w14:textId="0DB913BF" w:rsidR="002C1DEA" w:rsidRPr="002026E4" w:rsidRDefault="002C1DEA" w:rsidP="002026E4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Cs w:val="22"/>
                <w:lang w:val="ru-RU"/>
              </w:rPr>
            </w:pPr>
            <w:r w:rsidRPr="002026E4">
              <w:rPr>
                <w:rFonts w:cs="Arial"/>
                <w:b/>
                <w:szCs w:val="22"/>
                <w:lang w:val="ru-RU"/>
              </w:rPr>
              <w:t>Квалификация и опыт:</w:t>
            </w:r>
          </w:p>
          <w:p w14:paraId="52AE36DA" w14:textId="4B867865" w:rsidR="002C1DEA" w:rsidRPr="002026E4" w:rsidRDefault="002C1DEA" w:rsidP="00C92D39">
            <w:pPr>
              <w:pStyle w:val="Default"/>
              <w:numPr>
                <w:ilvl w:val="0"/>
                <w:numId w:val="29"/>
              </w:numP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2026E4">
              <w:rPr>
                <w:color w:val="auto"/>
                <w:sz w:val="22"/>
                <w:szCs w:val="22"/>
                <w:lang w:eastAsia="en-US"/>
              </w:rPr>
              <w:t>Высшее образование в области экологии, охраны окружающей среды</w:t>
            </w:r>
            <w:r w:rsidR="009C4E35" w:rsidRPr="002026E4">
              <w:rPr>
                <w:color w:val="auto"/>
                <w:sz w:val="22"/>
                <w:szCs w:val="22"/>
                <w:lang w:eastAsia="en-US"/>
              </w:rPr>
              <w:t>, экологического проектирования</w:t>
            </w:r>
            <w:r w:rsidRPr="002026E4">
              <w:rPr>
                <w:color w:val="auto"/>
                <w:sz w:val="22"/>
                <w:szCs w:val="22"/>
                <w:lang w:eastAsia="en-US"/>
              </w:rPr>
              <w:t xml:space="preserve"> или смежных наук</w:t>
            </w:r>
            <w:r w:rsidR="002026E4" w:rsidRPr="002026E4">
              <w:rPr>
                <w:color w:val="auto"/>
                <w:sz w:val="22"/>
                <w:szCs w:val="22"/>
                <w:lang w:eastAsia="en-US"/>
              </w:rPr>
              <w:t>.</w:t>
            </w:r>
          </w:p>
          <w:p w14:paraId="4E2FB109" w14:textId="1357655B" w:rsidR="009C4E35" w:rsidRPr="002026E4" w:rsidRDefault="009C4E35" w:rsidP="00C92D39">
            <w:pPr>
              <w:pStyle w:val="Default"/>
              <w:numPr>
                <w:ilvl w:val="0"/>
                <w:numId w:val="29"/>
              </w:numP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2026E4">
              <w:rPr>
                <w:sz w:val="22"/>
                <w:szCs w:val="22"/>
              </w:rPr>
              <w:t xml:space="preserve">Не менее 5 лет соответствующего профессионального опыта в области экологического управления, экологических защитных мер, строительного надзора или мониторинга соблюдения требований. Опыт участия в проектах, финансируемых международными финансовыми организациями или другими партнерами в области развития, будет </w:t>
            </w:r>
            <w:r w:rsidR="00095466" w:rsidRPr="002026E4">
              <w:rPr>
                <w:sz w:val="22"/>
                <w:szCs w:val="22"/>
              </w:rPr>
              <w:t xml:space="preserve">считаться </w:t>
            </w:r>
            <w:r w:rsidRPr="002026E4">
              <w:rPr>
                <w:sz w:val="22"/>
                <w:szCs w:val="22"/>
              </w:rPr>
              <w:t>преимуществом</w:t>
            </w:r>
            <w:r w:rsidR="002026E4" w:rsidRPr="002026E4">
              <w:rPr>
                <w:sz w:val="22"/>
                <w:szCs w:val="22"/>
              </w:rPr>
              <w:t>.</w:t>
            </w:r>
          </w:p>
          <w:p w14:paraId="0E46CA18" w14:textId="286A5BFB" w:rsidR="002C1DEA" w:rsidRPr="002026E4" w:rsidRDefault="002C1DEA" w:rsidP="00C92D39">
            <w:pPr>
              <w:pStyle w:val="Default"/>
              <w:numPr>
                <w:ilvl w:val="0"/>
                <w:numId w:val="29"/>
              </w:numP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2026E4">
              <w:rPr>
                <w:color w:val="auto"/>
                <w:sz w:val="22"/>
                <w:szCs w:val="22"/>
                <w:lang w:eastAsia="en-US"/>
              </w:rPr>
              <w:t xml:space="preserve">Наличие сертификата по охране труда и технике безопасности (NEBOSH, IOSH или аналогичного сертификата) будет </w:t>
            </w:r>
            <w:r w:rsidR="009C4E35" w:rsidRPr="002026E4">
              <w:rPr>
                <w:sz w:val="22"/>
                <w:szCs w:val="22"/>
              </w:rPr>
              <w:t>считаться преимуществом</w:t>
            </w:r>
            <w:r w:rsidR="002026E4" w:rsidRPr="002026E4">
              <w:rPr>
                <w:color w:val="auto"/>
                <w:sz w:val="22"/>
                <w:szCs w:val="22"/>
                <w:lang w:eastAsia="en-US"/>
              </w:rPr>
              <w:t>.</w:t>
            </w:r>
          </w:p>
          <w:p w14:paraId="4CC3A4D4" w14:textId="700CDD41" w:rsidR="002C1DEA" w:rsidRPr="002026E4" w:rsidRDefault="002C1DEA" w:rsidP="00C92D39">
            <w:pPr>
              <w:pStyle w:val="Default"/>
              <w:numPr>
                <w:ilvl w:val="0"/>
                <w:numId w:val="29"/>
              </w:numP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2026E4">
              <w:rPr>
                <w:color w:val="auto"/>
                <w:sz w:val="22"/>
                <w:szCs w:val="22"/>
                <w:lang w:eastAsia="en-US"/>
              </w:rPr>
              <w:t xml:space="preserve">Свободное владение русским языком. Хорошее владение письменным и устным английским языком будет </w:t>
            </w:r>
            <w:r w:rsidR="009C4E35" w:rsidRPr="002026E4">
              <w:rPr>
                <w:sz w:val="22"/>
                <w:szCs w:val="22"/>
              </w:rPr>
              <w:t xml:space="preserve">считаться </w:t>
            </w:r>
            <w:r w:rsidRPr="002026E4">
              <w:rPr>
                <w:color w:val="auto"/>
                <w:sz w:val="22"/>
                <w:szCs w:val="22"/>
                <w:lang w:eastAsia="en-US"/>
              </w:rPr>
              <w:t>преимуществом</w:t>
            </w:r>
            <w:r w:rsidR="002026E4" w:rsidRPr="002026E4">
              <w:rPr>
                <w:color w:val="auto"/>
                <w:sz w:val="22"/>
                <w:szCs w:val="22"/>
                <w:lang w:eastAsia="en-US"/>
              </w:rPr>
              <w:t>.</w:t>
            </w:r>
          </w:p>
          <w:p w14:paraId="23657AD8" w14:textId="24FF3815" w:rsidR="00834D22" w:rsidRPr="002026E4" w:rsidRDefault="002C1DEA" w:rsidP="00C92D39">
            <w:pPr>
              <w:pStyle w:val="Default"/>
              <w:numPr>
                <w:ilvl w:val="0"/>
                <w:numId w:val="29"/>
              </w:numP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2026E4">
              <w:rPr>
                <w:color w:val="auto"/>
                <w:sz w:val="22"/>
                <w:szCs w:val="22"/>
                <w:lang w:eastAsia="en-US"/>
              </w:rPr>
              <w:lastRenderedPageBreak/>
              <w:t>Хорошие навыки работы на компьютере и знание всех приложени</w:t>
            </w:r>
            <w:r w:rsidR="009C4E35" w:rsidRPr="002026E4">
              <w:rPr>
                <w:color w:val="auto"/>
                <w:sz w:val="22"/>
                <w:szCs w:val="22"/>
                <w:lang w:eastAsia="en-US"/>
              </w:rPr>
              <w:t>й</w:t>
            </w:r>
            <w:r w:rsidRPr="002026E4">
              <w:rPr>
                <w:color w:val="auto"/>
                <w:sz w:val="22"/>
                <w:szCs w:val="22"/>
                <w:lang w:eastAsia="en-US"/>
              </w:rPr>
              <w:t xml:space="preserve"> Microsoft Office.</w:t>
            </w:r>
          </w:p>
          <w:p w14:paraId="64BF7A1A" w14:textId="77777777" w:rsidR="0041288D" w:rsidRPr="002026E4" w:rsidRDefault="0041288D" w:rsidP="00C92D39">
            <w:pPr>
              <w:pStyle w:val="Default"/>
              <w:numPr>
                <w:ilvl w:val="0"/>
                <w:numId w:val="29"/>
              </w:numPr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2026E4">
              <w:rPr>
                <w:color w:val="auto"/>
                <w:sz w:val="22"/>
                <w:szCs w:val="22"/>
                <w:lang w:eastAsia="en-US"/>
              </w:rPr>
              <w:t xml:space="preserve">Знание кыргызского языка является преимуществом. </w:t>
            </w:r>
          </w:p>
          <w:p w14:paraId="7BD678A9" w14:textId="402EF6D1" w:rsidR="0041288D" w:rsidRPr="002026E4" w:rsidRDefault="0041288D" w:rsidP="0041288D">
            <w:pPr>
              <w:pStyle w:val="Default"/>
              <w:ind w:left="720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9C2D93" w:rsidRPr="00095466" w14:paraId="1AB202E9" w14:textId="77777777" w:rsidTr="00B8038E">
        <w:tc>
          <w:tcPr>
            <w:tcW w:w="3470" w:type="dxa"/>
            <w:gridSpan w:val="2"/>
          </w:tcPr>
          <w:p w14:paraId="3F2DC30F" w14:textId="169BBB7C" w:rsidR="009C2D93" w:rsidRPr="00095466" w:rsidRDefault="00B8038E" w:rsidP="00082B85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095466">
              <w:rPr>
                <w:rFonts w:cs="Arial"/>
                <w:b/>
                <w:bCs/>
                <w:szCs w:val="22"/>
                <w:lang w:val="ru-RU"/>
              </w:rPr>
              <w:lastRenderedPageBreak/>
              <w:t xml:space="preserve">Место </w:t>
            </w:r>
            <w:r w:rsidR="0041288D" w:rsidRPr="00095466">
              <w:rPr>
                <w:rFonts w:cs="Arial"/>
                <w:b/>
                <w:bCs/>
                <w:szCs w:val="22"/>
                <w:lang w:val="ru-RU"/>
              </w:rPr>
              <w:t>назначения</w:t>
            </w:r>
            <w:r w:rsidR="009C2D93" w:rsidRPr="00095466">
              <w:rPr>
                <w:rFonts w:cs="Arial"/>
                <w:b/>
                <w:bCs/>
                <w:szCs w:val="22"/>
                <w:lang w:val="ru-RU"/>
              </w:rPr>
              <w:t>:</w:t>
            </w:r>
          </w:p>
        </w:tc>
        <w:tc>
          <w:tcPr>
            <w:tcW w:w="2479" w:type="dxa"/>
            <w:gridSpan w:val="2"/>
          </w:tcPr>
          <w:p w14:paraId="59A0E400" w14:textId="6E1751C5" w:rsidR="009C2D93" w:rsidRPr="00095466" w:rsidRDefault="00B8038E" w:rsidP="00082B85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095466">
              <w:rPr>
                <w:rFonts w:cs="Arial"/>
                <w:b/>
                <w:bCs/>
                <w:szCs w:val="22"/>
                <w:lang w:val="ru-RU"/>
              </w:rPr>
              <w:t>Дни</w:t>
            </w:r>
            <w:r w:rsidR="009C2D93" w:rsidRPr="00095466">
              <w:rPr>
                <w:rFonts w:cs="Arial"/>
                <w:b/>
                <w:bCs/>
                <w:szCs w:val="22"/>
                <w:lang w:val="ru-RU"/>
              </w:rPr>
              <w:t>/</w:t>
            </w:r>
            <w:r w:rsidR="009C4E35" w:rsidRPr="00095466">
              <w:rPr>
                <w:rFonts w:cs="Arial"/>
                <w:b/>
                <w:bCs/>
                <w:szCs w:val="22"/>
                <w:lang w:val="ru-RU"/>
              </w:rPr>
              <w:t xml:space="preserve"> </w:t>
            </w:r>
            <w:r w:rsidRPr="00095466">
              <w:rPr>
                <w:rFonts w:cs="Arial"/>
                <w:b/>
                <w:bCs/>
                <w:szCs w:val="22"/>
                <w:lang w:val="ru-RU"/>
              </w:rPr>
              <w:t>Месяцы</w:t>
            </w:r>
            <w:r w:rsidR="009C2D93" w:rsidRPr="00095466">
              <w:rPr>
                <w:rFonts w:cs="Arial"/>
                <w:b/>
                <w:bCs/>
                <w:szCs w:val="22"/>
                <w:lang w:val="ru-RU"/>
              </w:rPr>
              <w:t xml:space="preserve"> </w:t>
            </w:r>
          </w:p>
        </w:tc>
        <w:tc>
          <w:tcPr>
            <w:tcW w:w="3401" w:type="dxa"/>
            <w:gridSpan w:val="2"/>
          </w:tcPr>
          <w:p w14:paraId="0C57ADC4" w14:textId="2478B38D" w:rsidR="009C2D93" w:rsidRPr="00095466" w:rsidRDefault="00B8038E" w:rsidP="00082B8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 w:rsidRPr="00095466">
              <w:rPr>
                <w:rFonts w:cs="Arial"/>
                <w:b/>
                <w:bCs/>
                <w:szCs w:val="22"/>
                <w:lang w:val="ru-RU"/>
              </w:rPr>
              <w:t>Предположительные даты</w:t>
            </w:r>
          </w:p>
        </w:tc>
      </w:tr>
      <w:tr w:rsidR="009C2D93" w:rsidRPr="00095466" w14:paraId="78DDD9D3" w14:textId="77777777" w:rsidTr="00B8038E">
        <w:tc>
          <w:tcPr>
            <w:tcW w:w="3470" w:type="dxa"/>
            <w:gridSpan w:val="2"/>
          </w:tcPr>
          <w:p w14:paraId="3A265BCB" w14:textId="77777777" w:rsidR="009C2D93" w:rsidRPr="00095466" w:rsidRDefault="009C2D93" w:rsidP="00082B8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</w:p>
          <w:p w14:paraId="4299E4DB" w14:textId="69FF9F84" w:rsidR="009C2D93" w:rsidRPr="00095466" w:rsidRDefault="002C1DEA" w:rsidP="002C1DE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 w:rsidRPr="00095466">
              <w:rPr>
                <w:rFonts w:cs="Arial"/>
                <w:szCs w:val="22"/>
                <w:lang w:val="ru-RU"/>
              </w:rPr>
              <w:t xml:space="preserve">Основное место предоставления услуг – </w:t>
            </w:r>
            <w:r w:rsidR="00095466">
              <w:rPr>
                <w:rFonts w:cs="Arial"/>
                <w:szCs w:val="22"/>
                <w:lang w:val="ru-RU"/>
              </w:rPr>
              <w:t>о</w:t>
            </w:r>
            <w:r w:rsidRPr="00095466">
              <w:rPr>
                <w:rFonts w:cs="Arial"/>
                <w:szCs w:val="22"/>
                <w:lang w:val="ru-RU"/>
              </w:rPr>
              <w:t>фис ОРП в г.</w:t>
            </w:r>
            <w:r w:rsidR="00CF4CA4" w:rsidRPr="00095466">
              <w:rPr>
                <w:rFonts w:cs="Arial"/>
                <w:szCs w:val="22"/>
                <w:lang w:val="ru-RU"/>
              </w:rPr>
              <w:t xml:space="preserve"> </w:t>
            </w:r>
            <w:r w:rsidRPr="00095466">
              <w:rPr>
                <w:rFonts w:cs="Arial"/>
                <w:szCs w:val="22"/>
                <w:lang w:val="ru-RU"/>
              </w:rPr>
              <w:t>Бишкек.</w:t>
            </w:r>
          </w:p>
        </w:tc>
        <w:tc>
          <w:tcPr>
            <w:tcW w:w="2479" w:type="dxa"/>
            <w:gridSpan w:val="2"/>
          </w:tcPr>
          <w:p w14:paraId="24ED864B" w14:textId="77777777" w:rsidR="009C2D93" w:rsidRPr="00095466" w:rsidRDefault="009C2D93" w:rsidP="00082B8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</w:p>
          <w:p w14:paraId="4745B1D4" w14:textId="0BD14BCE" w:rsidR="009C2D93" w:rsidRPr="00095466" w:rsidRDefault="002A06D7" w:rsidP="00082B8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 w:rsidRPr="00095466">
              <w:rPr>
                <w:rFonts w:cs="Arial"/>
                <w:szCs w:val="22"/>
                <w:lang w:val="ru-RU"/>
              </w:rPr>
              <w:t xml:space="preserve">12 </w:t>
            </w:r>
            <w:r w:rsidR="00B8038E" w:rsidRPr="00095466">
              <w:rPr>
                <w:rFonts w:cs="Arial"/>
                <w:szCs w:val="22"/>
                <w:lang w:val="ru-RU"/>
              </w:rPr>
              <w:t>месяцев</w:t>
            </w:r>
          </w:p>
        </w:tc>
        <w:tc>
          <w:tcPr>
            <w:tcW w:w="3401" w:type="dxa"/>
            <w:gridSpan w:val="2"/>
          </w:tcPr>
          <w:p w14:paraId="57C3EFE6" w14:textId="77777777" w:rsidR="009C2D93" w:rsidRPr="00095466" w:rsidRDefault="009C2D93" w:rsidP="00082B8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</w:p>
          <w:p w14:paraId="6608C0EB" w14:textId="77777777" w:rsidR="00834D22" w:rsidRPr="00095466" w:rsidRDefault="00834D22" w:rsidP="00DD0109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</w:p>
        </w:tc>
      </w:tr>
    </w:tbl>
    <w:p w14:paraId="63857A8B" w14:textId="77777777" w:rsidR="00A10F6C" w:rsidRPr="00095466" w:rsidRDefault="00A10F6C" w:rsidP="00A10F6C">
      <w:pPr>
        <w:autoSpaceDE w:val="0"/>
        <w:autoSpaceDN w:val="0"/>
        <w:adjustRightInd w:val="0"/>
        <w:rPr>
          <w:szCs w:val="22"/>
          <w:lang w:val="ru-RU"/>
        </w:rPr>
      </w:pPr>
    </w:p>
    <w:p w14:paraId="71FA676A" w14:textId="77777777" w:rsidR="00B83FE8" w:rsidRPr="00095466" w:rsidRDefault="00B83FE8" w:rsidP="00082B85">
      <w:pPr>
        <w:jc w:val="left"/>
        <w:rPr>
          <w:rFonts w:cs="Arial"/>
          <w:szCs w:val="22"/>
          <w:lang w:val="ru-RU"/>
        </w:rPr>
      </w:pPr>
    </w:p>
    <w:sectPr w:rsidR="00B83FE8" w:rsidRPr="00095466" w:rsidSect="00F146D9">
      <w:headerReference w:type="default" r:id="rId13"/>
      <w:footerReference w:type="even" r:id="rId14"/>
      <w:footnotePr>
        <w:numRestart w:val="eachSect"/>
      </w:footnotePr>
      <w:endnotePr>
        <w:numRestart w:val="eachSect"/>
      </w:endnotePr>
      <w:pgSz w:w="12240" w:h="15840" w:code="1"/>
      <w:pgMar w:top="1440" w:right="1440" w:bottom="1440" w:left="1440" w:header="57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19BD" w14:textId="77777777" w:rsidR="00AE5E12" w:rsidRDefault="00AE5E12">
      <w:r>
        <w:separator/>
      </w:r>
    </w:p>
  </w:endnote>
  <w:endnote w:type="continuationSeparator" w:id="0">
    <w:p w14:paraId="51ADACA2" w14:textId="77777777" w:rsidR="00AE5E12" w:rsidRDefault="00AE5E12">
      <w:r>
        <w:continuationSeparator/>
      </w:r>
    </w:p>
  </w:endnote>
  <w:endnote w:type="continuationNotice" w:id="1">
    <w:p w14:paraId="2A1A88B0" w14:textId="77777777" w:rsidR="00AE5E12" w:rsidRDefault="00AE5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F4A8" w14:textId="76219D15" w:rsidR="000010FD" w:rsidRDefault="004E3ED4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E09D79" wp14:editId="651F2028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0"/>
              <wp:wrapNone/>
              <wp:docPr id="3" name="MSIPCM6c624749aee27f1dcb410943" descr="{&quot;HashCode&quot;:418872913,&quot;Height&quot;:792.0,&quot;Width&quot;:612.0,&quot;Placement&quot;:&quot;Footer&quot;,&quot;Index&quot;:&quot;OddAndEven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0B6C1" w14:textId="77777777" w:rsidR="000010FD" w:rsidRPr="000010FD" w:rsidRDefault="000010FD" w:rsidP="000010FD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010F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09D79" id="_x0000_t202" coordsize="21600,21600" o:spt="202" path="m,l,21600r21600,l21600,xe">
              <v:stroke joinstyle="miter"/>
              <v:path gradientshapeok="t" o:connecttype="rect"/>
            </v:shapetype>
            <v:shape id="MSIPCM6c624749aee27f1dcb410943" o:spid="_x0000_s1026" type="#_x0000_t202" alt="{&quot;HashCode&quot;:418872913,&quot;Height&quot;:792.0,&quot;Width&quot;:612.0,&quot;Placement&quot;:&quot;Footer&quot;,&quot;Index&quot;:&quot;OddAndEven&quot;,&quot;Section&quot;:1,&quot;Top&quot;:0.0,&quot;Left&quot;:0.0}" style="position:absolute;left:0;text-align:left;margin-left:0;margin-top:733.9pt;width:612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" o:allowincell="f" filled="f" stroked="f">
              <v:textbox inset="20pt,0,,0">
                <w:txbxContent>
                  <w:p w14:paraId="49C0B6C1" w14:textId="77777777" w:rsidR="000010FD" w:rsidRPr="000010FD" w:rsidRDefault="000010FD" w:rsidP="000010FD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010FD">
                      <w:rPr>
                        <w:rFonts w:ascii="Calibri" w:hAnsi="Calibri" w:cs="Calibri"/>
                        <w:color w:val="00000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69A6" w14:textId="77777777" w:rsidR="00AE5E12" w:rsidRDefault="00AE5E12">
      <w:r>
        <w:separator/>
      </w:r>
    </w:p>
  </w:footnote>
  <w:footnote w:type="continuationSeparator" w:id="0">
    <w:p w14:paraId="59B2B82B" w14:textId="77777777" w:rsidR="00AE5E12" w:rsidRDefault="00AE5E12">
      <w:r>
        <w:continuationSeparator/>
      </w:r>
    </w:p>
  </w:footnote>
  <w:footnote w:type="continuationNotice" w:id="1">
    <w:p w14:paraId="753F399B" w14:textId="77777777" w:rsidR="00AE5E12" w:rsidRDefault="00AE5E12"/>
  </w:footnote>
  <w:footnote w:id="2">
    <w:p w14:paraId="6110D9D2" w14:textId="50DB215F" w:rsidR="00FA5247" w:rsidRPr="00B93AF8" w:rsidRDefault="00FA5247">
      <w:pPr>
        <w:pStyle w:val="a3"/>
        <w:rPr>
          <w:lang w:val="ru-RU"/>
        </w:rPr>
      </w:pPr>
      <w:r w:rsidRPr="00B93AF8">
        <w:rPr>
          <w:rStyle w:val="a5"/>
          <w:lang w:val="ru-RU"/>
        </w:rPr>
        <w:footnoteRef/>
      </w:r>
      <w:r w:rsidRPr="00B93AF8">
        <w:rPr>
          <w:lang w:val="ru-RU"/>
        </w:rPr>
        <w:t xml:space="preserve"> </w:t>
      </w:r>
      <w:r w:rsidRPr="00B93AF8">
        <w:rPr>
          <w:szCs w:val="18"/>
          <w:lang w:val="ru-RU"/>
        </w:rPr>
        <w:t>Кыргызская Республика демонстрирует один из самых низких коэффициентов выбросов в регионе – 0,18 кгCO2/кВтч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0A87" w14:textId="77777777" w:rsidR="00F146D9" w:rsidRDefault="00F146D9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3E67E60" w14:textId="77777777" w:rsidR="00F146D9" w:rsidRDefault="00F146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C700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B67EA610"/>
    <w:lvl w:ilvl="0">
      <w:start w:val="1"/>
      <w:numFmt w:val="upperRoman"/>
      <w:pStyle w:val="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lowerLetter"/>
      <w:pStyle w:val="4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Roman"/>
      <w:pStyle w:val="5"/>
      <w:lvlText w:val="%5."/>
      <w:legacy w:legacy="1" w:legacySpace="0" w:legacyIndent="720"/>
      <w:lvlJc w:val="left"/>
      <w:pPr>
        <w:ind w:left="2880" w:hanging="720"/>
      </w:pPr>
    </w:lvl>
    <w:lvl w:ilvl="5">
      <w:start w:val="1"/>
      <w:numFmt w:val="none"/>
      <w:pStyle w:val="6"/>
      <w:suff w:val="nothing"/>
      <w:lvlText w:val=""/>
      <w:lvlJc w:val="left"/>
      <w:pPr>
        <w:ind w:left="4320" w:hanging="720"/>
      </w:pPr>
    </w:lvl>
    <w:lvl w:ilvl="6">
      <w:start w:val="1"/>
      <w:numFmt w:val="none"/>
      <w:pStyle w:val="7"/>
      <w:suff w:val="nothing"/>
      <w:lvlText w:val=""/>
      <w:lvlJc w:val="left"/>
      <w:pPr>
        <w:ind w:left="5040" w:hanging="720"/>
      </w:pPr>
    </w:lvl>
    <w:lvl w:ilvl="7">
      <w:start w:val="1"/>
      <w:numFmt w:val="none"/>
      <w:pStyle w:val="8"/>
      <w:suff w:val="nothing"/>
      <w:lvlText w:val=""/>
      <w:lvlJc w:val="left"/>
      <w:pPr>
        <w:ind w:left="5760" w:hanging="720"/>
      </w:pPr>
    </w:lvl>
    <w:lvl w:ilvl="8">
      <w:start w:val="1"/>
      <w:numFmt w:val="none"/>
      <w:pStyle w:val="9"/>
      <w:suff w:val="nothing"/>
      <w:lvlText w:val=""/>
      <w:lvlJc w:val="left"/>
      <w:pPr>
        <w:ind w:left="6480" w:hanging="720"/>
      </w:pPr>
    </w:lvl>
  </w:abstractNum>
  <w:abstractNum w:abstractNumId="2" w15:restartNumberingAfterBreak="0">
    <w:nsid w:val="089F74C2"/>
    <w:multiLevelType w:val="hybridMultilevel"/>
    <w:tmpl w:val="B17EC3F0"/>
    <w:lvl w:ilvl="0" w:tplc="3F728E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BA4751"/>
    <w:multiLevelType w:val="hybridMultilevel"/>
    <w:tmpl w:val="20E8C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F37FE"/>
    <w:multiLevelType w:val="hybridMultilevel"/>
    <w:tmpl w:val="7B90C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E7CB1"/>
    <w:multiLevelType w:val="hybridMultilevel"/>
    <w:tmpl w:val="B38A4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2B418B"/>
    <w:multiLevelType w:val="hybridMultilevel"/>
    <w:tmpl w:val="51A6C3F0"/>
    <w:lvl w:ilvl="0" w:tplc="86142DEC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08B9"/>
    <w:multiLevelType w:val="singleLevel"/>
    <w:tmpl w:val="7AEE5FF4"/>
    <w:lvl w:ilvl="0">
      <w:start w:val="1"/>
      <w:numFmt w:val="lowerRoman"/>
      <w:lvlText w:val="(%1)"/>
      <w:legacy w:legacy="1" w:legacySpace="0" w:legacyIndent="360"/>
      <w:lvlJc w:val="left"/>
      <w:pPr>
        <w:ind w:left="1080" w:hanging="360"/>
      </w:pPr>
    </w:lvl>
  </w:abstractNum>
  <w:abstractNum w:abstractNumId="8" w15:restartNumberingAfterBreak="0">
    <w:nsid w:val="320D662B"/>
    <w:multiLevelType w:val="hybridMultilevel"/>
    <w:tmpl w:val="9BBE6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117CF"/>
    <w:multiLevelType w:val="multilevel"/>
    <w:tmpl w:val="9BBE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B1FF0"/>
    <w:multiLevelType w:val="hybridMultilevel"/>
    <w:tmpl w:val="049C2ABC"/>
    <w:lvl w:ilvl="0" w:tplc="FB14C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1DF5"/>
    <w:multiLevelType w:val="hybridMultilevel"/>
    <w:tmpl w:val="FFE4776A"/>
    <w:lvl w:ilvl="0" w:tplc="0CB4B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62999"/>
    <w:multiLevelType w:val="hybridMultilevel"/>
    <w:tmpl w:val="0690344A"/>
    <w:lvl w:ilvl="0" w:tplc="D0A4ABC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851A4"/>
    <w:multiLevelType w:val="hybridMultilevel"/>
    <w:tmpl w:val="6C928502"/>
    <w:lvl w:ilvl="0" w:tplc="2B5A86F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F48E0"/>
    <w:multiLevelType w:val="hybridMultilevel"/>
    <w:tmpl w:val="35AC61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A7C93D8">
      <w:start w:val="1"/>
      <w:numFmt w:val="lowerRoman"/>
      <w:lvlText w:val="(%2)"/>
      <w:lvlJc w:val="left"/>
      <w:pPr>
        <w:ind w:left="1800" w:hanging="72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C2C6F7A"/>
    <w:multiLevelType w:val="hybridMultilevel"/>
    <w:tmpl w:val="74F07C58"/>
    <w:lvl w:ilvl="0" w:tplc="2B5A86F2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46A38D5"/>
    <w:multiLevelType w:val="singleLevel"/>
    <w:tmpl w:val="7AEE5FF4"/>
    <w:lvl w:ilvl="0">
      <w:start w:val="1"/>
      <w:numFmt w:val="lowerRoman"/>
      <w:lvlText w:val="(%1)"/>
      <w:legacy w:legacy="1" w:legacySpace="0" w:legacyIndent="360"/>
      <w:lvlJc w:val="left"/>
      <w:pPr>
        <w:ind w:left="1080" w:hanging="360"/>
      </w:pPr>
    </w:lvl>
  </w:abstractNum>
  <w:abstractNum w:abstractNumId="17" w15:restartNumberingAfterBreak="0">
    <w:nsid w:val="55381966"/>
    <w:multiLevelType w:val="hybridMultilevel"/>
    <w:tmpl w:val="4D4A61EE"/>
    <w:lvl w:ilvl="0" w:tplc="D0A4ABC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F622D"/>
    <w:multiLevelType w:val="hybridMultilevel"/>
    <w:tmpl w:val="6B6A4E60"/>
    <w:lvl w:ilvl="0" w:tplc="D0A4ABC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02A07"/>
    <w:multiLevelType w:val="hybridMultilevel"/>
    <w:tmpl w:val="ECA065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49D3085"/>
    <w:multiLevelType w:val="hybridMultilevel"/>
    <w:tmpl w:val="1A36EABC"/>
    <w:lvl w:ilvl="0" w:tplc="D0A4ABC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02839"/>
    <w:multiLevelType w:val="singleLevel"/>
    <w:tmpl w:val="7AEE5FF4"/>
    <w:lvl w:ilvl="0">
      <w:start w:val="1"/>
      <w:numFmt w:val="lowerRoman"/>
      <w:lvlText w:val="(%1)"/>
      <w:legacy w:legacy="1" w:legacySpace="0" w:legacyIndent="360"/>
      <w:lvlJc w:val="left"/>
      <w:pPr>
        <w:ind w:left="1080" w:hanging="360"/>
      </w:pPr>
    </w:lvl>
  </w:abstractNum>
  <w:abstractNum w:abstractNumId="22" w15:restartNumberingAfterBreak="0">
    <w:nsid w:val="70124452"/>
    <w:multiLevelType w:val="singleLevel"/>
    <w:tmpl w:val="7AEE5FF4"/>
    <w:lvl w:ilvl="0">
      <w:start w:val="1"/>
      <w:numFmt w:val="lowerRoman"/>
      <w:lvlText w:val="(%1)"/>
      <w:legacy w:legacy="1" w:legacySpace="0" w:legacyIndent="360"/>
      <w:lvlJc w:val="left"/>
      <w:pPr>
        <w:ind w:left="1080" w:hanging="360"/>
      </w:pPr>
    </w:lvl>
  </w:abstractNum>
  <w:abstractNum w:abstractNumId="23" w15:restartNumberingAfterBreak="0">
    <w:nsid w:val="712D10B5"/>
    <w:multiLevelType w:val="hybridMultilevel"/>
    <w:tmpl w:val="A5C021A2"/>
    <w:lvl w:ilvl="0" w:tplc="C2C46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91024E"/>
    <w:multiLevelType w:val="hybridMultilevel"/>
    <w:tmpl w:val="E5605408"/>
    <w:lvl w:ilvl="0" w:tplc="B09E1E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12602"/>
    <w:multiLevelType w:val="hybridMultilevel"/>
    <w:tmpl w:val="1D4E9C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0A4ABC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851018E"/>
    <w:multiLevelType w:val="hybridMultilevel"/>
    <w:tmpl w:val="C04E0BF4"/>
    <w:lvl w:ilvl="0" w:tplc="0AE68732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26906"/>
    <w:multiLevelType w:val="hybridMultilevel"/>
    <w:tmpl w:val="B17EC3F0"/>
    <w:lvl w:ilvl="0" w:tplc="3F728E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6F32B1"/>
    <w:multiLevelType w:val="hybridMultilevel"/>
    <w:tmpl w:val="B8787EBA"/>
    <w:lvl w:ilvl="0" w:tplc="029C74F8">
      <w:start w:val="1"/>
      <w:numFmt w:val="decimal"/>
      <w:lvlText w:val="%1."/>
      <w:lvlJc w:val="left"/>
      <w:pPr>
        <w:ind w:left="63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92499058">
    <w:abstractNumId w:val="1"/>
  </w:num>
  <w:num w:numId="2" w16cid:durableId="1550610161">
    <w:abstractNumId w:val="21"/>
  </w:num>
  <w:num w:numId="3" w16cid:durableId="1476727467">
    <w:abstractNumId w:val="16"/>
  </w:num>
  <w:num w:numId="4" w16cid:durableId="1410880747">
    <w:abstractNumId w:val="7"/>
  </w:num>
  <w:num w:numId="5" w16cid:durableId="25954262">
    <w:abstractNumId w:val="22"/>
  </w:num>
  <w:num w:numId="6" w16cid:durableId="1295141755">
    <w:abstractNumId w:val="1"/>
  </w:num>
  <w:num w:numId="7" w16cid:durableId="1849631826">
    <w:abstractNumId w:val="1"/>
  </w:num>
  <w:num w:numId="8" w16cid:durableId="657222201">
    <w:abstractNumId w:val="1"/>
  </w:num>
  <w:num w:numId="9" w16cid:durableId="1654212715">
    <w:abstractNumId w:val="1"/>
  </w:num>
  <w:num w:numId="10" w16cid:durableId="88622029">
    <w:abstractNumId w:val="1"/>
  </w:num>
  <w:num w:numId="11" w16cid:durableId="1669672645">
    <w:abstractNumId w:val="1"/>
  </w:num>
  <w:num w:numId="12" w16cid:durableId="127823288">
    <w:abstractNumId w:val="1"/>
  </w:num>
  <w:num w:numId="13" w16cid:durableId="1862282238">
    <w:abstractNumId w:val="1"/>
  </w:num>
  <w:num w:numId="14" w16cid:durableId="2072187808">
    <w:abstractNumId w:val="1"/>
  </w:num>
  <w:num w:numId="15" w16cid:durableId="148791249">
    <w:abstractNumId w:val="4"/>
  </w:num>
  <w:num w:numId="16" w16cid:durableId="226037152">
    <w:abstractNumId w:val="8"/>
  </w:num>
  <w:num w:numId="17" w16cid:durableId="1510828396">
    <w:abstractNumId w:val="9"/>
  </w:num>
  <w:num w:numId="18" w16cid:durableId="500319704">
    <w:abstractNumId w:val="0"/>
  </w:num>
  <w:num w:numId="19" w16cid:durableId="957295132">
    <w:abstractNumId w:val="3"/>
  </w:num>
  <w:num w:numId="20" w16cid:durableId="8393521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0780089">
    <w:abstractNumId w:val="28"/>
  </w:num>
  <w:num w:numId="22" w16cid:durableId="1869173989">
    <w:abstractNumId w:val="15"/>
  </w:num>
  <w:num w:numId="23" w16cid:durableId="433789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0456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0889719">
    <w:abstractNumId w:val="2"/>
  </w:num>
  <w:num w:numId="26" w16cid:durableId="1347365117">
    <w:abstractNumId w:val="27"/>
  </w:num>
  <w:num w:numId="27" w16cid:durableId="664476137">
    <w:abstractNumId w:val="11"/>
  </w:num>
  <w:num w:numId="28" w16cid:durableId="736975371">
    <w:abstractNumId w:val="14"/>
  </w:num>
  <w:num w:numId="29" w16cid:durableId="260527983">
    <w:abstractNumId w:val="25"/>
  </w:num>
  <w:num w:numId="30" w16cid:durableId="130484894">
    <w:abstractNumId w:val="5"/>
  </w:num>
  <w:num w:numId="31" w16cid:durableId="1842232898">
    <w:abstractNumId w:val="19"/>
  </w:num>
  <w:num w:numId="32" w16cid:durableId="748190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781719">
    <w:abstractNumId w:val="12"/>
  </w:num>
  <w:num w:numId="34" w16cid:durableId="128982206">
    <w:abstractNumId w:val="18"/>
  </w:num>
  <w:num w:numId="35" w16cid:durableId="1370257992">
    <w:abstractNumId w:val="20"/>
  </w:num>
  <w:num w:numId="36" w16cid:durableId="683635677">
    <w:abstractNumId w:val="6"/>
  </w:num>
  <w:num w:numId="37" w16cid:durableId="1686133190">
    <w:abstractNumId w:val="24"/>
  </w:num>
  <w:num w:numId="38" w16cid:durableId="1724787107">
    <w:abstractNumId w:val="10"/>
  </w:num>
  <w:num w:numId="39" w16cid:durableId="853306206">
    <w:abstractNumId w:val="17"/>
  </w:num>
  <w:num w:numId="40" w16cid:durableId="1212185240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Restart w:val="eachSect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C4"/>
    <w:rsid w:val="000010FD"/>
    <w:rsid w:val="00012949"/>
    <w:rsid w:val="0002238F"/>
    <w:rsid w:val="00024C73"/>
    <w:rsid w:val="000616FB"/>
    <w:rsid w:val="00070221"/>
    <w:rsid w:val="00082B85"/>
    <w:rsid w:val="0009003B"/>
    <w:rsid w:val="00095466"/>
    <w:rsid w:val="000B4E7A"/>
    <w:rsid w:val="000C22EF"/>
    <w:rsid w:val="000C3157"/>
    <w:rsid w:val="000D1D43"/>
    <w:rsid w:val="000D32B4"/>
    <w:rsid w:val="000D5FE3"/>
    <w:rsid w:val="000E19C2"/>
    <w:rsid w:val="000F3813"/>
    <w:rsid w:val="001011B1"/>
    <w:rsid w:val="00116A6E"/>
    <w:rsid w:val="0012106D"/>
    <w:rsid w:val="00134637"/>
    <w:rsid w:val="00134F00"/>
    <w:rsid w:val="00144006"/>
    <w:rsid w:val="00157C6A"/>
    <w:rsid w:val="0016301E"/>
    <w:rsid w:val="001707F6"/>
    <w:rsid w:val="001721C9"/>
    <w:rsid w:val="001746B8"/>
    <w:rsid w:val="00174E00"/>
    <w:rsid w:val="00181135"/>
    <w:rsid w:val="001B2769"/>
    <w:rsid w:val="001B69F0"/>
    <w:rsid w:val="001C1F95"/>
    <w:rsid w:val="001C4B75"/>
    <w:rsid w:val="001E6400"/>
    <w:rsid w:val="001F1430"/>
    <w:rsid w:val="001F7105"/>
    <w:rsid w:val="002005E7"/>
    <w:rsid w:val="002026E4"/>
    <w:rsid w:val="00213DC8"/>
    <w:rsid w:val="00231B4C"/>
    <w:rsid w:val="00235CE0"/>
    <w:rsid w:val="002469AE"/>
    <w:rsid w:val="00251930"/>
    <w:rsid w:val="00273786"/>
    <w:rsid w:val="0029055E"/>
    <w:rsid w:val="00297E01"/>
    <w:rsid w:val="002A06D7"/>
    <w:rsid w:val="002C1DEA"/>
    <w:rsid w:val="002C2D68"/>
    <w:rsid w:val="002C3DDA"/>
    <w:rsid w:val="002D109F"/>
    <w:rsid w:val="002F0F3C"/>
    <w:rsid w:val="002F54A3"/>
    <w:rsid w:val="002F6B9B"/>
    <w:rsid w:val="003222C4"/>
    <w:rsid w:val="00322BF7"/>
    <w:rsid w:val="00324A0E"/>
    <w:rsid w:val="00325FEF"/>
    <w:rsid w:val="003547EC"/>
    <w:rsid w:val="003619E3"/>
    <w:rsid w:val="00362201"/>
    <w:rsid w:val="00371F8A"/>
    <w:rsid w:val="003918E3"/>
    <w:rsid w:val="00393E5D"/>
    <w:rsid w:val="003A4BDC"/>
    <w:rsid w:val="003A6643"/>
    <w:rsid w:val="003D24AF"/>
    <w:rsid w:val="003D4C96"/>
    <w:rsid w:val="003E0C7E"/>
    <w:rsid w:val="00400FA6"/>
    <w:rsid w:val="0041288D"/>
    <w:rsid w:val="00436773"/>
    <w:rsid w:val="004556EF"/>
    <w:rsid w:val="0048304C"/>
    <w:rsid w:val="004844AB"/>
    <w:rsid w:val="004B4ED6"/>
    <w:rsid w:val="004B7EED"/>
    <w:rsid w:val="004D5AA7"/>
    <w:rsid w:val="004E3ED4"/>
    <w:rsid w:val="004F32CF"/>
    <w:rsid w:val="00517378"/>
    <w:rsid w:val="0052288D"/>
    <w:rsid w:val="0053B403"/>
    <w:rsid w:val="00543B4A"/>
    <w:rsid w:val="0054443D"/>
    <w:rsid w:val="005545CC"/>
    <w:rsid w:val="00580E81"/>
    <w:rsid w:val="005822EE"/>
    <w:rsid w:val="005824BC"/>
    <w:rsid w:val="00587829"/>
    <w:rsid w:val="005B3847"/>
    <w:rsid w:val="005C5B4B"/>
    <w:rsid w:val="005C6A2A"/>
    <w:rsid w:val="005D793B"/>
    <w:rsid w:val="005E6210"/>
    <w:rsid w:val="005E698C"/>
    <w:rsid w:val="005F12AA"/>
    <w:rsid w:val="005F6CE8"/>
    <w:rsid w:val="00600112"/>
    <w:rsid w:val="00604555"/>
    <w:rsid w:val="0060617E"/>
    <w:rsid w:val="00616958"/>
    <w:rsid w:val="00624ABB"/>
    <w:rsid w:val="00626068"/>
    <w:rsid w:val="006558A0"/>
    <w:rsid w:val="00656B59"/>
    <w:rsid w:val="006655D0"/>
    <w:rsid w:val="006815FD"/>
    <w:rsid w:val="00691BF0"/>
    <w:rsid w:val="006938C5"/>
    <w:rsid w:val="006A7A47"/>
    <w:rsid w:val="006B2B0B"/>
    <w:rsid w:val="006B752B"/>
    <w:rsid w:val="006C2606"/>
    <w:rsid w:val="006D240C"/>
    <w:rsid w:val="006D79B2"/>
    <w:rsid w:val="006E6A09"/>
    <w:rsid w:val="006E6F86"/>
    <w:rsid w:val="006E7C65"/>
    <w:rsid w:val="006F17D1"/>
    <w:rsid w:val="006F1E62"/>
    <w:rsid w:val="00705F75"/>
    <w:rsid w:val="0075056D"/>
    <w:rsid w:val="007546AF"/>
    <w:rsid w:val="00766D8D"/>
    <w:rsid w:val="00781506"/>
    <w:rsid w:val="007909E3"/>
    <w:rsid w:val="00797FD6"/>
    <w:rsid w:val="007A4188"/>
    <w:rsid w:val="007A44AE"/>
    <w:rsid w:val="007D5430"/>
    <w:rsid w:val="007F5716"/>
    <w:rsid w:val="00800327"/>
    <w:rsid w:val="00803C7D"/>
    <w:rsid w:val="00834D22"/>
    <w:rsid w:val="00835EAE"/>
    <w:rsid w:val="00841E3C"/>
    <w:rsid w:val="008554F0"/>
    <w:rsid w:val="00863E32"/>
    <w:rsid w:val="00870788"/>
    <w:rsid w:val="0087087E"/>
    <w:rsid w:val="00873791"/>
    <w:rsid w:val="0088494B"/>
    <w:rsid w:val="008A5DB0"/>
    <w:rsid w:val="008B238F"/>
    <w:rsid w:val="008C7C75"/>
    <w:rsid w:val="008E5D4B"/>
    <w:rsid w:val="00922823"/>
    <w:rsid w:val="00940017"/>
    <w:rsid w:val="00944E9B"/>
    <w:rsid w:val="00947275"/>
    <w:rsid w:val="0094746A"/>
    <w:rsid w:val="00947C41"/>
    <w:rsid w:val="00962B90"/>
    <w:rsid w:val="00981CB1"/>
    <w:rsid w:val="00996339"/>
    <w:rsid w:val="009A2825"/>
    <w:rsid w:val="009A6975"/>
    <w:rsid w:val="009B2C1A"/>
    <w:rsid w:val="009C2D93"/>
    <w:rsid w:val="009C4E35"/>
    <w:rsid w:val="009C5BE9"/>
    <w:rsid w:val="009D0284"/>
    <w:rsid w:val="009F202B"/>
    <w:rsid w:val="00A02FF4"/>
    <w:rsid w:val="00A10F6C"/>
    <w:rsid w:val="00A15A4B"/>
    <w:rsid w:val="00A35758"/>
    <w:rsid w:val="00A515E3"/>
    <w:rsid w:val="00A728DB"/>
    <w:rsid w:val="00A81AE2"/>
    <w:rsid w:val="00A87323"/>
    <w:rsid w:val="00A87D05"/>
    <w:rsid w:val="00AB0969"/>
    <w:rsid w:val="00AB2FDC"/>
    <w:rsid w:val="00AC5E04"/>
    <w:rsid w:val="00AE5E12"/>
    <w:rsid w:val="00AE67D5"/>
    <w:rsid w:val="00B01624"/>
    <w:rsid w:val="00B10E98"/>
    <w:rsid w:val="00B17BA3"/>
    <w:rsid w:val="00B300B1"/>
    <w:rsid w:val="00B43447"/>
    <w:rsid w:val="00B51A1F"/>
    <w:rsid w:val="00B57CC3"/>
    <w:rsid w:val="00B6243D"/>
    <w:rsid w:val="00B634BC"/>
    <w:rsid w:val="00B6570C"/>
    <w:rsid w:val="00B740B1"/>
    <w:rsid w:val="00B74F06"/>
    <w:rsid w:val="00B8038E"/>
    <w:rsid w:val="00B83925"/>
    <w:rsid w:val="00B83FE8"/>
    <w:rsid w:val="00B92CC8"/>
    <w:rsid w:val="00B93AF8"/>
    <w:rsid w:val="00BE2287"/>
    <w:rsid w:val="00BE52DB"/>
    <w:rsid w:val="00BE55EB"/>
    <w:rsid w:val="00C010D1"/>
    <w:rsid w:val="00C16C35"/>
    <w:rsid w:val="00C21DC4"/>
    <w:rsid w:val="00C367BA"/>
    <w:rsid w:val="00C36BD6"/>
    <w:rsid w:val="00C433BB"/>
    <w:rsid w:val="00C65B59"/>
    <w:rsid w:val="00C7087C"/>
    <w:rsid w:val="00C872B0"/>
    <w:rsid w:val="00C92D39"/>
    <w:rsid w:val="00C9599E"/>
    <w:rsid w:val="00CA2212"/>
    <w:rsid w:val="00CA6437"/>
    <w:rsid w:val="00CC0D7E"/>
    <w:rsid w:val="00CF2E3C"/>
    <w:rsid w:val="00CF4CA4"/>
    <w:rsid w:val="00CF52B5"/>
    <w:rsid w:val="00D066C1"/>
    <w:rsid w:val="00D06D3E"/>
    <w:rsid w:val="00D07397"/>
    <w:rsid w:val="00D161AF"/>
    <w:rsid w:val="00D402D9"/>
    <w:rsid w:val="00D40AD0"/>
    <w:rsid w:val="00D50D4F"/>
    <w:rsid w:val="00D534E6"/>
    <w:rsid w:val="00D541F9"/>
    <w:rsid w:val="00D55260"/>
    <w:rsid w:val="00D72623"/>
    <w:rsid w:val="00D727ED"/>
    <w:rsid w:val="00D85482"/>
    <w:rsid w:val="00D87C7B"/>
    <w:rsid w:val="00D958A1"/>
    <w:rsid w:val="00D95EBC"/>
    <w:rsid w:val="00DC06A9"/>
    <w:rsid w:val="00DD0109"/>
    <w:rsid w:val="00DD0548"/>
    <w:rsid w:val="00DD074C"/>
    <w:rsid w:val="00DD0F85"/>
    <w:rsid w:val="00DE2B87"/>
    <w:rsid w:val="00DE6790"/>
    <w:rsid w:val="00DE7AC6"/>
    <w:rsid w:val="00E27400"/>
    <w:rsid w:val="00E31845"/>
    <w:rsid w:val="00E42360"/>
    <w:rsid w:val="00E42546"/>
    <w:rsid w:val="00E47E23"/>
    <w:rsid w:val="00E67BF2"/>
    <w:rsid w:val="00E70A63"/>
    <w:rsid w:val="00E751A1"/>
    <w:rsid w:val="00E840B5"/>
    <w:rsid w:val="00EA04C3"/>
    <w:rsid w:val="00EB036E"/>
    <w:rsid w:val="00EC390D"/>
    <w:rsid w:val="00ED1A0E"/>
    <w:rsid w:val="00EE053A"/>
    <w:rsid w:val="00EE46C5"/>
    <w:rsid w:val="00EE6143"/>
    <w:rsid w:val="00EE68A2"/>
    <w:rsid w:val="00EE75BA"/>
    <w:rsid w:val="00EF6CA4"/>
    <w:rsid w:val="00EF7309"/>
    <w:rsid w:val="00F039B9"/>
    <w:rsid w:val="00F146D9"/>
    <w:rsid w:val="00F34569"/>
    <w:rsid w:val="00F35B4F"/>
    <w:rsid w:val="00F50F4D"/>
    <w:rsid w:val="00F51100"/>
    <w:rsid w:val="00F54F21"/>
    <w:rsid w:val="00F61E0D"/>
    <w:rsid w:val="00F65C65"/>
    <w:rsid w:val="00F74446"/>
    <w:rsid w:val="00F80451"/>
    <w:rsid w:val="00F83CC6"/>
    <w:rsid w:val="00F867B0"/>
    <w:rsid w:val="00F944B9"/>
    <w:rsid w:val="00FA5247"/>
    <w:rsid w:val="00FC382D"/>
    <w:rsid w:val="00FD0FF8"/>
    <w:rsid w:val="00FD45F6"/>
    <w:rsid w:val="00FE207B"/>
    <w:rsid w:val="00FE34A2"/>
    <w:rsid w:val="00FF02BA"/>
    <w:rsid w:val="00FF22BC"/>
    <w:rsid w:val="00FF6343"/>
    <w:rsid w:val="214D1EE2"/>
    <w:rsid w:val="31FA1543"/>
    <w:rsid w:val="6519C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F3BF2"/>
  <w15:chartTrackingRefBased/>
  <w15:docId w15:val="{34814298-B719-4198-9E57-1DB41F68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Arial" w:hAnsi="Arial"/>
      <w:sz w:val="22"/>
    </w:rPr>
  </w:style>
  <w:style w:type="paragraph" w:styleId="1">
    <w:name w:val="heading 1"/>
    <w:basedOn w:val="a"/>
    <w:next w:val="a"/>
    <w:qFormat/>
    <w:pPr>
      <w:keepNext/>
      <w:numPr>
        <w:numId w:val="6"/>
      </w:numPr>
      <w:spacing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7"/>
      </w:numPr>
      <w:spacing w:after="24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spacing w:after="24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after="240"/>
      <w:jc w:val="left"/>
      <w:outlineLvl w:val="3"/>
    </w:pPr>
    <w:rPr>
      <w:b/>
    </w:rPr>
  </w:style>
  <w:style w:type="paragraph" w:styleId="5">
    <w:name w:val="heading 5"/>
    <w:basedOn w:val="a"/>
    <w:next w:val="a"/>
    <w:qFormat/>
    <w:pPr>
      <w:numPr>
        <w:ilvl w:val="4"/>
        <w:numId w:val="10"/>
      </w:numPr>
      <w:spacing w:after="240"/>
      <w:outlineLvl w:val="4"/>
    </w:pPr>
    <w:rPr>
      <w:b/>
    </w:rPr>
  </w:style>
  <w:style w:type="paragraph" w:styleId="6">
    <w:name w:val="heading 6"/>
    <w:basedOn w:val="a"/>
    <w:next w:val="a"/>
    <w:qFormat/>
    <w:pPr>
      <w:numPr>
        <w:ilvl w:val="5"/>
        <w:numId w:val="11"/>
      </w:numPr>
      <w:spacing w:before="240" w:after="60"/>
      <w:outlineLvl w:val="5"/>
    </w:pPr>
    <w:rPr>
      <w:i/>
    </w:rPr>
  </w:style>
  <w:style w:type="paragraph" w:styleId="7">
    <w:name w:val="heading 7"/>
    <w:basedOn w:val="a"/>
    <w:next w:val="a"/>
    <w:qFormat/>
    <w:pPr>
      <w:numPr>
        <w:ilvl w:val="6"/>
        <w:numId w:val="12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pPr>
      <w:numPr>
        <w:ilvl w:val="7"/>
        <w:numId w:val="13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4"/>
      </w:numPr>
      <w:spacing w:before="240" w:after="60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t,single space,Fußnote,FOOTNOTES,fn,Geneva 9,Font: Geneva 9,Boston 10,f,footnote text,Footnote Text Char1 Char1,Footnote Text Char Char Char1,Footnote Text Char1 Char Char,Footnote Text Char Char Char Char,Footnote Text Char Char1 Char"/>
    <w:basedOn w:val="a"/>
    <w:link w:val="a4"/>
    <w:uiPriority w:val="99"/>
    <w:qFormat/>
    <w:pPr>
      <w:ind w:left="187" w:hanging="187"/>
    </w:pPr>
    <w:rPr>
      <w:color w:val="000000"/>
      <w:sz w:val="18"/>
    </w:rPr>
  </w:style>
  <w:style w:type="character" w:styleId="a5">
    <w:name w:val="footnote reference"/>
    <w:aliases w:val="ftref,16 Point,Superscript 6 Point,Ref,de nota al pie,fr,Footnote Ref in FtNote,SUPERS,(NECG) Footnote Reference,Footnote Reference Number,BVI fnr,Char Char Char Char Car Char,Footnote1,Footnote11,footnote,stylish"/>
    <w:uiPriority w:val="99"/>
    <w:qFormat/>
    <w:rPr>
      <w:vertAlign w:val="superscript"/>
    </w:rPr>
  </w:style>
  <w:style w:type="paragraph" w:styleId="30">
    <w:name w:val="toc 3"/>
    <w:basedOn w:val="a"/>
    <w:next w:val="a"/>
    <w:semiHidden/>
    <w:pPr>
      <w:tabs>
        <w:tab w:val="right" w:pos="9360"/>
      </w:tabs>
      <w:ind w:left="440"/>
      <w:jc w:val="left"/>
    </w:pPr>
    <w:rPr>
      <w:rFonts w:ascii="Times New Roman" w:hAnsi="Times New Roman"/>
      <w:sz w:val="20"/>
    </w:rPr>
  </w:style>
  <w:style w:type="paragraph" w:styleId="10">
    <w:name w:val="toc 1"/>
    <w:basedOn w:val="a"/>
    <w:next w:val="a"/>
    <w:autoRedefine/>
    <w:semiHidden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20">
    <w:name w:val="toc 2"/>
    <w:basedOn w:val="a"/>
    <w:next w:val="a"/>
    <w:autoRedefine/>
    <w:semiHidden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40">
    <w:name w:val="toc 4"/>
    <w:basedOn w:val="a"/>
    <w:next w:val="a"/>
    <w:semiHidden/>
    <w:pPr>
      <w:tabs>
        <w:tab w:val="right" w:pos="9360"/>
      </w:tabs>
      <w:ind w:left="660"/>
      <w:jc w:val="left"/>
    </w:pPr>
    <w:rPr>
      <w:rFonts w:ascii="Times New Roman" w:hAnsi="Times New Roman"/>
      <w:sz w:val="20"/>
    </w:rPr>
  </w:style>
  <w:style w:type="paragraph" w:styleId="50">
    <w:name w:val="toc 5"/>
    <w:basedOn w:val="a"/>
    <w:next w:val="a"/>
    <w:semiHidden/>
    <w:pPr>
      <w:tabs>
        <w:tab w:val="right" w:pos="9360"/>
      </w:tabs>
      <w:ind w:left="880"/>
      <w:jc w:val="left"/>
    </w:pPr>
    <w:rPr>
      <w:rFonts w:ascii="Times New Roman" w:hAnsi="Times New Roman"/>
      <w:sz w:val="20"/>
    </w:rPr>
  </w:style>
  <w:style w:type="paragraph" w:styleId="60">
    <w:name w:val="toc 6"/>
    <w:basedOn w:val="a"/>
    <w:next w:val="a"/>
    <w:semiHidden/>
    <w:pPr>
      <w:tabs>
        <w:tab w:val="right" w:pos="9360"/>
      </w:tabs>
      <w:ind w:left="1100"/>
      <w:jc w:val="left"/>
    </w:pPr>
    <w:rPr>
      <w:rFonts w:ascii="Times New Roman" w:hAnsi="Times New Roman"/>
      <w:sz w:val="20"/>
    </w:rPr>
  </w:style>
  <w:style w:type="paragraph" w:styleId="70">
    <w:name w:val="toc 7"/>
    <w:basedOn w:val="a"/>
    <w:next w:val="a"/>
    <w:semiHidden/>
    <w:pPr>
      <w:tabs>
        <w:tab w:val="right" w:pos="9360"/>
      </w:tabs>
      <w:ind w:left="1320"/>
      <w:jc w:val="left"/>
    </w:pPr>
    <w:rPr>
      <w:rFonts w:ascii="Times New Roman" w:hAnsi="Times New Roman"/>
      <w:sz w:val="20"/>
    </w:rPr>
  </w:style>
  <w:style w:type="paragraph" w:styleId="80">
    <w:name w:val="toc 8"/>
    <w:basedOn w:val="a"/>
    <w:next w:val="a"/>
    <w:semiHidden/>
    <w:pPr>
      <w:tabs>
        <w:tab w:val="right" w:pos="9360"/>
      </w:tabs>
      <w:ind w:left="1540"/>
      <w:jc w:val="left"/>
    </w:pPr>
    <w:rPr>
      <w:rFonts w:ascii="Times New Roman" w:hAnsi="Times New Roman"/>
      <w:sz w:val="20"/>
    </w:rPr>
  </w:style>
  <w:style w:type="paragraph" w:styleId="90">
    <w:name w:val="toc 9"/>
    <w:basedOn w:val="a"/>
    <w:next w:val="a"/>
    <w:semiHidden/>
    <w:pPr>
      <w:tabs>
        <w:tab w:val="right" w:pos="9360"/>
      </w:tabs>
      <w:ind w:left="1760"/>
      <w:jc w:val="left"/>
    </w:pPr>
    <w:rPr>
      <w:rFonts w:ascii="Times New Roman" w:hAnsi="Times New Roman"/>
      <w:sz w:val="20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  <w:jc w:val="center"/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character" w:customStyle="1" w:styleId="MajorHeadin">
    <w:name w:val="Major Headin"/>
    <w:basedOn w:val="a0"/>
  </w:style>
  <w:style w:type="paragraph" w:customStyle="1" w:styleId="EndnoteText1">
    <w:name w:val="Endnote Text1"/>
    <w:basedOn w:val="a"/>
    <w:pPr>
      <w:jc w:val="left"/>
    </w:pPr>
    <w:rPr>
      <w:sz w:val="24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Document1">
    <w:name w:val="Document 1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paragraph" w:customStyle="1" w:styleId="Technical5">
    <w:name w:val="Technical 5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4">
    <w:name w:val="Technical 4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7">
    <w:name w:val="Technical 7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OC91">
    <w:name w:val="TOC 91"/>
    <w:basedOn w:val="a"/>
    <w:next w:val="a"/>
    <w:pPr>
      <w:tabs>
        <w:tab w:val="right" w:leader="dot" w:pos="9360"/>
      </w:tabs>
      <w:ind w:left="720" w:hanging="720"/>
      <w:jc w:val="left"/>
    </w:pPr>
  </w:style>
  <w:style w:type="paragraph" w:customStyle="1" w:styleId="TOAHeading1">
    <w:name w:val="TOA Heading1"/>
    <w:basedOn w:val="a"/>
    <w:next w:val="a"/>
    <w:pPr>
      <w:tabs>
        <w:tab w:val="right" w:pos="9360"/>
      </w:tabs>
      <w:jc w:val="left"/>
    </w:pPr>
  </w:style>
  <w:style w:type="paragraph" w:customStyle="1" w:styleId="Caption1">
    <w:name w:val="Caption1"/>
    <w:basedOn w:val="a"/>
    <w:next w:val="a"/>
    <w:pPr>
      <w:jc w:val="left"/>
    </w:pPr>
    <w:rPr>
      <w:sz w:val="24"/>
    </w:rPr>
  </w:style>
  <w:style w:type="paragraph" w:customStyle="1" w:styleId="TA">
    <w:name w:val="TA"/>
    <w:pPr>
      <w:jc w:val="both"/>
    </w:pPr>
    <w:rPr>
      <w:rFonts w:ascii="Arial" w:hAnsi="Arial"/>
      <w:sz w:val="22"/>
    </w:rPr>
  </w:style>
  <w:style w:type="paragraph" w:customStyle="1" w:styleId="TA1">
    <w:name w:val="TA1"/>
    <w:pPr>
      <w:jc w:val="both"/>
    </w:pPr>
    <w:rPr>
      <w:rFonts w:ascii="Arial" w:hAnsi="Arial"/>
      <w:sz w:val="22"/>
    </w:rPr>
  </w:style>
  <w:style w:type="paragraph" w:customStyle="1" w:styleId="para">
    <w:name w:val="para"/>
    <w:pPr>
      <w:jc w:val="both"/>
    </w:pPr>
    <w:rPr>
      <w:rFonts w:ascii="Arial" w:hAnsi="Arial"/>
      <w:sz w:val="22"/>
    </w:rPr>
  </w:style>
  <w:style w:type="paragraph" w:customStyle="1" w:styleId="ta0">
    <w:name w:val="ta"/>
    <w:pPr>
      <w:jc w:val="both"/>
    </w:pPr>
    <w:rPr>
      <w:rFonts w:ascii="Arial" w:hAnsi="Arial"/>
      <w:sz w:val="22"/>
    </w:rPr>
  </w:style>
  <w:style w:type="paragraph" w:styleId="aa">
    <w:name w:val="endnote text"/>
    <w:basedOn w:val="a"/>
    <w:semiHidden/>
    <w:rPr>
      <w:sz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toa heading"/>
    <w:basedOn w:val="a"/>
    <w:next w:val="a"/>
    <w:semiHidden/>
    <w:pPr>
      <w:tabs>
        <w:tab w:val="right" w:pos="9360"/>
      </w:tabs>
      <w:jc w:val="left"/>
    </w:pPr>
  </w:style>
  <w:style w:type="paragraph" w:styleId="ad">
    <w:name w:val="caption"/>
    <w:basedOn w:val="a"/>
    <w:next w:val="a"/>
    <w:qFormat/>
    <w:pPr>
      <w:jc w:val="left"/>
    </w:pPr>
    <w:rPr>
      <w:sz w:val="24"/>
    </w:rPr>
  </w:style>
  <w:style w:type="paragraph" w:styleId="ae">
    <w:name w:val="Body Text Indent"/>
    <w:basedOn w:val="a"/>
    <w:rPr>
      <w:color w:val="FF0000"/>
    </w:rPr>
  </w:style>
  <w:style w:type="paragraph" w:styleId="af">
    <w:name w:val="Body Text"/>
    <w:basedOn w:val="a"/>
    <w:rPr>
      <w:b/>
    </w:rPr>
  </w:style>
  <w:style w:type="paragraph" w:styleId="31">
    <w:name w:val="Body Text 3"/>
    <w:basedOn w:val="a"/>
    <w:rPr>
      <w:b/>
      <w:color w:val="0000FF"/>
    </w:rPr>
  </w:style>
  <w:style w:type="paragraph" w:styleId="21">
    <w:name w:val="Body Text 2"/>
    <w:basedOn w:val="a"/>
    <w:rPr>
      <w:rFonts w:ascii="Helv" w:hAnsi="Helv"/>
      <w:snapToGrid w:val="0"/>
      <w:color w:val="000000"/>
    </w:rPr>
  </w:style>
  <w:style w:type="paragraph" w:styleId="af0">
    <w:name w:val="Title"/>
    <w:basedOn w:val="a"/>
    <w:qFormat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PPAR1">
    <w:name w:val="PPAR1"/>
    <w:basedOn w:val="a"/>
    <w:pPr>
      <w:keepNext/>
      <w:spacing w:before="120" w:after="120"/>
      <w:jc w:val="center"/>
    </w:pPr>
    <w:rPr>
      <w:b/>
      <w:caps/>
    </w:rPr>
  </w:style>
  <w:style w:type="paragraph" w:styleId="22">
    <w:name w:val="Body Text Indent 2"/>
    <w:basedOn w:val="a"/>
    <w:pPr>
      <w:ind w:left="-360"/>
    </w:pPr>
    <w:rPr>
      <w:color w:val="FF0000"/>
    </w:rPr>
  </w:style>
  <w:style w:type="character" w:styleId="af1">
    <w:name w:val="Hyperlink"/>
    <w:rsid w:val="00FD0FF8"/>
    <w:rPr>
      <w:color w:val="0000FF"/>
      <w:u w:val="single"/>
    </w:rPr>
  </w:style>
  <w:style w:type="table" w:styleId="af2">
    <w:name w:val="Table Grid"/>
    <w:basedOn w:val="a1"/>
    <w:rsid w:val="00324A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841E3C"/>
    <w:rPr>
      <w:color w:val="800080"/>
      <w:u w:val="single"/>
    </w:rPr>
  </w:style>
  <w:style w:type="paragraph" w:styleId="af4">
    <w:name w:val="Balloon Text"/>
    <w:basedOn w:val="a"/>
    <w:semiHidden/>
    <w:rsid w:val="000D1D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D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msolistparagraph">
    <w:name w:val="x_msolistparagraph"/>
    <w:basedOn w:val="a"/>
    <w:rsid w:val="0094746A"/>
    <w:pPr>
      <w:jc w:val="left"/>
    </w:pPr>
    <w:rPr>
      <w:rFonts w:ascii="Calibri" w:eastAsia="Calibri" w:hAnsi="Calibri" w:cs="Calibri"/>
      <w:szCs w:val="22"/>
    </w:rPr>
  </w:style>
  <w:style w:type="character" w:customStyle="1" w:styleId="xnormaltextrun">
    <w:name w:val="x_normaltextrun"/>
    <w:basedOn w:val="a0"/>
    <w:rsid w:val="0094746A"/>
  </w:style>
  <w:style w:type="paragraph" w:styleId="af5">
    <w:name w:val="List Paragraph"/>
    <w:aliases w:val="Text,Citation List,List Paragraph1,Recommendation,List Paragraph11,Bulleted List Paragraph"/>
    <w:basedOn w:val="a"/>
    <w:link w:val="af6"/>
    <w:uiPriority w:val="34"/>
    <w:qFormat/>
    <w:rsid w:val="00CA2212"/>
    <w:pPr>
      <w:ind w:left="708"/>
    </w:pPr>
  </w:style>
  <w:style w:type="character" w:customStyle="1" w:styleId="a4">
    <w:name w:val="Текст сноски Знак"/>
    <w:aliases w:val="ft Знак,single space Знак,Fußnote Знак,FOOTNOTES Знак,fn Знак,Geneva 9 Знак,Font: Geneva 9 Знак,Boston 10 Знак,f Знак,footnote text Знак,Footnote Text Char1 Char1 Знак,Footnote Text Char Char Char1 Знак"/>
    <w:link w:val="a3"/>
    <w:uiPriority w:val="99"/>
    <w:rsid w:val="00CA2212"/>
    <w:rPr>
      <w:rFonts w:ascii="Arial" w:hAnsi="Arial"/>
      <w:color w:val="000000"/>
      <w:sz w:val="18"/>
      <w:lang w:eastAsia="en-US"/>
    </w:rPr>
  </w:style>
  <w:style w:type="character" w:styleId="af7">
    <w:name w:val="annotation reference"/>
    <w:rsid w:val="00CA2212"/>
    <w:rPr>
      <w:sz w:val="16"/>
      <w:szCs w:val="16"/>
    </w:rPr>
  </w:style>
  <w:style w:type="paragraph" w:styleId="af8">
    <w:name w:val="annotation text"/>
    <w:basedOn w:val="a"/>
    <w:link w:val="af9"/>
    <w:rsid w:val="00CA2212"/>
    <w:rPr>
      <w:sz w:val="20"/>
    </w:rPr>
  </w:style>
  <w:style w:type="character" w:customStyle="1" w:styleId="af9">
    <w:name w:val="Текст примечания Знак"/>
    <w:link w:val="af8"/>
    <w:rsid w:val="00CA2212"/>
    <w:rPr>
      <w:rFonts w:ascii="Arial" w:hAnsi="Arial"/>
      <w:lang w:eastAsia="en-US"/>
    </w:rPr>
  </w:style>
  <w:style w:type="character" w:customStyle="1" w:styleId="af6">
    <w:name w:val="Абзац списка Знак"/>
    <w:aliases w:val="Text Знак,Citation List Знак,List Paragraph1 Знак,Recommendation Знак,List Paragraph11 Знак,Bulleted List Paragraph Знак"/>
    <w:link w:val="af5"/>
    <w:uiPriority w:val="34"/>
    <w:locked/>
    <w:rsid w:val="00CA2212"/>
    <w:rPr>
      <w:rFonts w:ascii="Arial" w:hAnsi="Arial"/>
      <w:sz w:val="22"/>
      <w:lang w:eastAsia="en-US"/>
    </w:rPr>
  </w:style>
  <w:style w:type="paragraph" w:styleId="afa">
    <w:name w:val="annotation subject"/>
    <w:basedOn w:val="af8"/>
    <w:next w:val="af8"/>
    <w:link w:val="afb"/>
    <w:rsid w:val="00B01624"/>
    <w:rPr>
      <w:b/>
      <w:bCs/>
    </w:rPr>
  </w:style>
  <w:style w:type="character" w:customStyle="1" w:styleId="afb">
    <w:name w:val="Тема примечания Знак"/>
    <w:link w:val="afa"/>
    <w:rsid w:val="00B01624"/>
    <w:rPr>
      <w:rFonts w:ascii="Arial" w:hAnsi="Arial"/>
      <w:b/>
      <w:bCs/>
      <w:lang w:eastAsia="en-US"/>
    </w:rPr>
  </w:style>
  <w:style w:type="character" w:styleId="afc">
    <w:name w:val="Mention"/>
    <w:uiPriority w:val="99"/>
    <w:unhideWhenUsed/>
    <w:rsid w:val="00B01624"/>
    <w:rPr>
      <w:color w:val="2B579A"/>
      <w:shd w:val="clear" w:color="auto" w:fill="E1DFDD"/>
    </w:rPr>
  </w:style>
  <w:style w:type="paragraph" w:styleId="afd">
    <w:name w:val="Revision"/>
    <w:hidden/>
    <w:uiPriority w:val="99"/>
    <w:semiHidden/>
    <w:rsid w:val="000C3157"/>
    <w:rPr>
      <w:rFonts w:ascii="Arial" w:hAnsi="Arial"/>
      <w:sz w:val="22"/>
    </w:rPr>
  </w:style>
  <w:style w:type="character" w:customStyle="1" w:styleId="ui-provider">
    <w:name w:val="ui-provider"/>
    <w:basedOn w:val="a0"/>
    <w:rsid w:val="000C3157"/>
  </w:style>
  <w:style w:type="character" w:customStyle="1" w:styleId="a7">
    <w:name w:val="Верхний колонтитул Знак"/>
    <w:link w:val="a6"/>
    <w:uiPriority w:val="99"/>
    <w:rsid w:val="00F146D9"/>
    <w:rPr>
      <w:rFonts w:ascii="Arial" w:hAnsi="Arial"/>
      <w:sz w:val="22"/>
      <w:lang w:eastAsia="en-US"/>
    </w:rPr>
  </w:style>
  <w:style w:type="paragraph" w:styleId="afe">
    <w:name w:val="Normal (Web)"/>
    <w:basedOn w:val="a"/>
    <w:uiPriority w:val="99"/>
    <w:unhideWhenUsed/>
    <w:rsid w:val="00691BF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KG"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3baf70b-9d20-46e6-a2d2-5b92398ba0bc" ContentTypeId="0x010100A3BFD338C4D69F46BE33AA49AB508701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hca2169e3b0945318411f30479ba40c8 xmlns="c1fdd505-2570-46c2-bd04-3e0f2d874cf5">
      <Terms xmlns="http://schemas.microsoft.com/office/infopath/2007/PartnerControls"/>
    </hca2169e3b0945318411f30479ba40c8>
    <a0d1b14b197747dfafc19f70ff45d4f6 xmlns="c1fdd505-2570-46c2-bd04-3e0f2d874cf5">
      <Terms xmlns="http://schemas.microsoft.com/office/infopath/2007/PartnerControls"/>
    </a0d1b14b197747dfafc19f70ff45d4f6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CWEN</TermName>
          <TermId xmlns="http://schemas.microsoft.com/office/infopath/2007/PartnerControls">8c221037-7d76-4b29-ac89-3b72d108c9cd</TermId>
        </TermInfo>
      </Terms>
    </ia017ac09b1942648b563fe0b2b14d52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h35d3bd3f16b4964a022bfaedf90233f xmlns="c1fdd505-2570-46c2-bd04-3e0f2d874cf5">
      <Terms xmlns="http://schemas.microsoft.com/office/infopath/2007/PartnerControls"/>
    </h35d3bd3f16b4964a022bfaedf90233f>
    <k985dbdc596c44d7acaf8184f33920f0 xmlns="c1fdd505-2570-46c2-bd04-3e0f2d874cf5">
      <Terms xmlns="http://schemas.microsoft.com/office/infopath/2007/PartnerControls"/>
    </k985dbdc596c44d7acaf8184f33920f0>
    <ADBSourceLink xmlns="c1fdd505-2570-46c2-bd04-3e0f2d874cf5">
      <Url xsi:nil="true"/>
      <Description xsi:nil="true"/>
    </ADBSourceLink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kc098dd651dc4f4b9248417ab8ccab6f xmlns="c1fdd505-2570-46c2-bd04-3e0f2d874cf5">
      <Terms xmlns="http://schemas.microsoft.com/office/infopath/2007/PartnerControls"/>
    </kc098dd651dc4f4b9248417ab8ccab6f>
    <lcf76f155ced4ddcb4097134ff3c332f xmlns="36b55f52-6e8f-4107-bcba-c81697ffd1cd">
      <Terms xmlns="http://schemas.microsoft.com/office/infopath/2007/PartnerControls"/>
    </lcf76f155ced4ddcb4097134ff3c332f>
    <d01a0ce1b141461dbfb235a3ab729a2c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</TermName>
          <TermId xmlns="http://schemas.microsoft.com/office/infopath/2007/PartnerControls">332fb56b-795b-4107-9bb0-0b49aede5744</TermId>
        </TermInfo>
      </Terms>
    </d01a0ce1b141461dbfb235a3ab729a2c>
    <ADBDocumentTypeValue xmlns="c1fdd505-2570-46c2-bd04-3e0f2d874cf5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d61536b25a8a4fedb48bb564279be82a>
    <ADBCirculatedLink xmlns="c1fdd505-2570-46c2-bd04-3e0f2d874cf5">
      <Url xsi:nil="true"/>
      <Description xsi:nil="true"/>
    </ADBCirculatedLink>
    <TaxCatchAll xmlns="c1fdd505-2570-46c2-bd04-3e0f2d874cf5">
      <Value>10</Value>
      <Value>3</Value>
      <Value>2</Value>
      <Value>1</Value>
      <Value>7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23" ma:contentTypeDescription="" ma:contentTypeScope="" ma:versionID="4acb058911339f2e21f4aab70d09744a">
  <xsd:schema xmlns:xsd="http://www.w3.org/2001/XMLSchema" xmlns:xs="http://www.w3.org/2001/XMLSchema" xmlns:p="http://schemas.microsoft.com/office/2006/metadata/properties" xmlns:ns2="c1fdd505-2570-46c2-bd04-3e0f2d874cf5" xmlns:ns3="36b55f52-6e8f-4107-bcba-c81697ffd1cd" xmlns:ns4="de7c83af-6e2a-468d-b74a-8ed3e8c19c66" targetNamespace="http://schemas.microsoft.com/office/2006/metadata/properties" ma:root="true" ma:fieldsID="686c500c0894c92ec495c7953c0a424c" ns2:_="" ns3:_="" ns4:_="">
    <xsd:import namespace="c1fdd505-2570-46c2-bd04-3e0f2d874cf5"/>
    <xsd:import namespace="36b55f52-6e8f-4107-bcba-c81697ffd1cd"/>
    <xsd:import namespace="de7c83af-6e2a-468d-b74a-8ed3e8c19c66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c098dd651dc4f4b9248417ab8ccab6f" minOccurs="0"/>
                <xsd:element ref="ns2:k985dbdc596c44d7acaf8184f33920f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6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7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8" nillable="true" ma:taxonomy="true" ma:internalName="a0d1b14b197747dfafc19f70ff45d4f6" ma:taxonomyFieldName="ADBProjectDocumentType" ma:displayName="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9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2e8b2a1f-e1aa-436a-8484-a43430eb9939}" ma:internalName="TaxCatchAll" ma:showField="CatchAllData" ma:web="de7c83af-6e2a-468d-b74a-8ed3e8c19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1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2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4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7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1" nillable="true" ma:taxonomy="true" ma:internalName="j78542b1fffc4a1c84659474212e3133" ma:taxonomyFieldName="ADBContentGroup" ma:displayName="Content Group" ma:default="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3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4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6" nillable="true" ma:taxonomy="true" ma:internalName="kc098dd651dc4f4b9248417ab8ccab6f" ma:taxonomyFieldName="Segment" ma:displayName="Segment" ma:readOnly="false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7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55f52-6e8f-4107-bcba-c81697ffd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c83af-6e2a-468d-b74a-8ed3e8c19c66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4560EE-42DF-4DF3-A98F-5E9F8B162AB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B3ED171-5503-433C-BEA4-FF683AE4D7D8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36b55f52-6e8f-4107-bcba-c81697ffd1cd"/>
  </ds:schemaRefs>
</ds:datastoreItem>
</file>

<file path=customXml/itemProps3.xml><?xml version="1.0" encoding="utf-8"?>
<ds:datastoreItem xmlns:ds="http://schemas.openxmlformats.org/officeDocument/2006/customXml" ds:itemID="{97396D46-CF24-4BFE-81A9-D346CF576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36b55f52-6e8f-4107-bcba-c81697ffd1cd"/>
    <ds:schemaRef ds:uri="de7c83af-6e2a-468d-b74a-8ed3e8c19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D5F516-1D9F-4DBB-8893-31AA125ADC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262662-ED43-493C-B464-7CD0789ED1B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6E74DDD-95A2-4190-978D-304197B05F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Ms</vt:lpstr>
    </vt:vector>
  </TitlesOfParts>
  <Company>Asian Development Bank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Ms</dc:title>
  <dc:subject/>
  <dc:creator>RT6</dc:creator>
  <cp:keywords/>
  <dc:description/>
  <cp:lastModifiedBy>User5</cp:lastModifiedBy>
  <cp:revision>4</cp:revision>
  <cp:lastPrinted>2013-01-09T01:38:00Z</cp:lastPrinted>
  <dcterms:created xsi:type="dcterms:W3CDTF">2026-03-25T07:01:00Z</dcterms:created>
  <dcterms:modified xsi:type="dcterms:W3CDTF">2026-03-26T08:18:00Z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7d4574-7375-4d17-b29c-6e4c6df0fcb0_Enabled">
    <vt:lpwstr>true</vt:lpwstr>
  </property>
  <property fmtid="{D5CDD505-2E9C-101B-9397-08002B2CF9AE}" pid="3" name="MSIP_Label_817d4574-7375-4d17-b29c-6e4c6df0fcb0_SetDate">
    <vt:lpwstr>2021-10-19T08:13:16Z</vt:lpwstr>
  </property>
  <property fmtid="{D5CDD505-2E9C-101B-9397-08002B2CF9AE}" pid="4" name="MSIP_Label_817d4574-7375-4d17-b29c-6e4c6df0fcb0_Method">
    <vt:lpwstr>Standard</vt:lpwstr>
  </property>
  <property fmtid="{D5CDD505-2E9C-101B-9397-08002B2CF9AE}" pid="5" name="MSIP_Label_817d4574-7375-4d17-b29c-6e4c6df0fcb0_Name">
    <vt:lpwstr>ADB Internal</vt:lpwstr>
  </property>
  <property fmtid="{D5CDD505-2E9C-101B-9397-08002B2CF9AE}" pid="6" name="MSIP_Label_817d4574-7375-4d17-b29c-6e4c6df0fcb0_SiteId">
    <vt:lpwstr>9495d6bb-41c2-4c58-848f-92e52cf3d640</vt:lpwstr>
  </property>
  <property fmtid="{D5CDD505-2E9C-101B-9397-08002B2CF9AE}" pid="7" name="MSIP_Label_817d4574-7375-4d17-b29c-6e4c6df0fcb0_ActionId">
    <vt:lpwstr>3d5fafc9-1624-458d-8a31-7fd502168997</vt:lpwstr>
  </property>
  <property fmtid="{D5CDD505-2E9C-101B-9397-08002B2CF9AE}" pid="8" name="MSIP_Label_817d4574-7375-4d17-b29c-6e4c6df0fcb0_ContentBits">
    <vt:lpwstr>2</vt:lpwstr>
  </property>
  <property fmtid="{D5CDD505-2E9C-101B-9397-08002B2CF9AE}" pid="9" name="ADBDepartmentOwner">
    <vt:lpwstr>3;#CWRD|6d71ff58-4882-4388-ab5c-218969b1e9c8</vt:lpwstr>
  </property>
  <property fmtid="{D5CDD505-2E9C-101B-9397-08002B2CF9AE}" pid="10" name="ADBProjectDocumentType">
    <vt:lpwstr/>
  </property>
  <property fmtid="{D5CDD505-2E9C-101B-9397-08002B2CF9AE}" pid="11" name="ADBDocumentLanguage">
    <vt:lpwstr>1;#English|16ac8743-31bb-43f8-9a73-533a041667d6</vt:lpwstr>
  </property>
  <property fmtid="{D5CDD505-2E9C-101B-9397-08002B2CF9AE}" pid="12" name="ADBProject">
    <vt:lpwstr/>
  </property>
  <property fmtid="{D5CDD505-2E9C-101B-9397-08002B2CF9AE}" pid="13" name="MediaServiceImageTags">
    <vt:lpwstr/>
  </property>
  <property fmtid="{D5CDD505-2E9C-101B-9397-08002B2CF9AE}" pid="14" name="ADBSector">
    <vt:lpwstr>7;#Energy|332fb56b-795b-4107-9bb0-0b49aede5744</vt:lpwstr>
  </property>
  <property fmtid="{D5CDD505-2E9C-101B-9397-08002B2CF9AE}" pid="15" name="ADBContentGroup">
    <vt:lpwstr>2;#CWRD|6d71ff58-4882-4388-ab5c-218969b1e9c8</vt:lpwstr>
  </property>
  <property fmtid="{D5CDD505-2E9C-101B-9397-08002B2CF9AE}" pid="16" name="ADBDivision">
    <vt:lpwstr>10;#CWEN|8c221037-7d76-4b29-ac89-3b72d108c9cd</vt:lpwstr>
  </property>
  <property fmtid="{D5CDD505-2E9C-101B-9397-08002B2CF9AE}" pid="17" name="ADBSubRegion">
    <vt:lpwstr/>
  </property>
  <property fmtid="{D5CDD505-2E9C-101B-9397-08002B2CF9AE}" pid="18" name="Segment">
    <vt:lpwstr/>
  </property>
  <property fmtid="{D5CDD505-2E9C-101B-9397-08002B2CF9AE}" pid="19" name="ADBDocumentSecurity">
    <vt:lpwstr/>
  </property>
  <property fmtid="{D5CDD505-2E9C-101B-9397-08002B2CF9AE}" pid="20" name="ADBCountry">
    <vt:lpwstr/>
  </property>
  <property fmtid="{D5CDD505-2E9C-101B-9397-08002B2CF9AE}" pid="21" name="ContentTypeId">
    <vt:lpwstr>0x010100A3BFD338C4D69F46BE33AA49AB50870100C520B00D8BB20C45814389052060F14C</vt:lpwstr>
  </property>
</Properties>
</file>