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A041" w14:textId="77777777" w:rsidR="004A47FA" w:rsidRPr="004A47FA" w:rsidRDefault="004A47FA" w:rsidP="004A47FA">
      <w:pPr>
        <w:tabs>
          <w:tab w:val="left" w:pos="1503"/>
        </w:tabs>
        <w:spacing w:after="0" w:line="240" w:lineRule="auto"/>
        <w:jc w:val="center"/>
        <w:rPr>
          <w:rFonts w:ascii="Times New Roman" w:hAnsi="Times New Roman" w:cs="Times New Roman"/>
          <w:b/>
          <w:sz w:val="24"/>
          <w:szCs w:val="24"/>
          <w:lang w:val="en-US"/>
        </w:rPr>
      </w:pPr>
      <w:r w:rsidRPr="004A47FA">
        <w:rPr>
          <w:rFonts w:ascii="Times New Roman" w:hAnsi="Times New Roman" w:cs="Times New Roman"/>
          <w:b/>
          <w:sz w:val="24"/>
          <w:szCs w:val="24"/>
          <w:lang w:val="en-US"/>
        </w:rPr>
        <w:t>MINISTRY OF HEALTH OF THE KYRGYZ REPUBLIC</w:t>
      </w:r>
    </w:p>
    <w:p w14:paraId="04FED01C" w14:textId="77777777" w:rsidR="004A47FA" w:rsidRPr="004A47FA" w:rsidRDefault="004A47FA" w:rsidP="004A47FA">
      <w:pPr>
        <w:tabs>
          <w:tab w:val="left" w:pos="1503"/>
        </w:tabs>
        <w:spacing w:after="0" w:line="240" w:lineRule="auto"/>
        <w:jc w:val="center"/>
        <w:rPr>
          <w:rFonts w:ascii="Times New Roman" w:hAnsi="Times New Roman" w:cs="Times New Roman"/>
          <w:b/>
          <w:sz w:val="24"/>
          <w:szCs w:val="24"/>
          <w:lang w:val="en-US"/>
        </w:rPr>
      </w:pPr>
      <w:r w:rsidRPr="004A47FA">
        <w:rPr>
          <w:rFonts w:ascii="Times New Roman" w:hAnsi="Times New Roman" w:cs="Times New Roman"/>
          <w:b/>
          <w:sz w:val="24"/>
          <w:szCs w:val="24"/>
          <w:lang w:val="en-US"/>
        </w:rPr>
        <w:t>WORLD BANK-FINANCED PRIMARY HEALTH CARE QUALITY IMPROVEMENT OPERATION</w:t>
      </w:r>
    </w:p>
    <w:p w14:paraId="3E826444" w14:textId="77777777" w:rsidR="004A47FA" w:rsidRPr="004A47FA" w:rsidRDefault="004A47FA" w:rsidP="004A47FA">
      <w:pPr>
        <w:tabs>
          <w:tab w:val="left" w:pos="1503"/>
        </w:tabs>
        <w:spacing w:after="0" w:line="240" w:lineRule="auto"/>
        <w:jc w:val="center"/>
        <w:rPr>
          <w:rFonts w:ascii="Times New Roman" w:hAnsi="Times New Roman" w:cs="Times New Roman"/>
          <w:b/>
          <w:sz w:val="24"/>
          <w:szCs w:val="24"/>
          <w:lang w:val="en-US"/>
        </w:rPr>
      </w:pPr>
    </w:p>
    <w:p w14:paraId="2B4D50FB" w14:textId="77777777" w:rsidR="004A47FA" w:rsidRPr="004A47FA" w:rsidRDefault="004A47FA" w:rsidP="004A47FA">
      <w:pPr>
        <w:tabs>
          <w:tab w:val="left" w:pos="1503"/>
        </w:tabs>
        <w:spacing w:after="0" w:line="240" w:lineRule="auto"/>
        <w:jc w:val="center"/>
        <w:rPr>
          <w:rFonts w:ascii="Times New Roman" w:hAnsi="Times New Roman" w:cs="Times New Roman"/>
          <w:b/>
          <w:sz w:val="24"/>
          <w:szCs w:val="24"/>
          <w:lang w:val="en-US"/>
        </w:rPr>
      </w:pPr>
      <w:r w:rsidRPr="004A47FA">
        <w:rPr>
          <w:rFonts w:ascii="Times New Roman" w:hAnsi="Times New Roman" w:cs="Times New Roman"/>
          <w:b/>
          <w:sz w:val="24"/>
          <w:szCs w:val="24"/>
          <w:lang w:val="en-US"/>
        </w:rPr>
        <w:t>TERMS OF REFERENCE</w:t>
      </w:r>
    </w:p>
    <w:p w14:paraId="50288393" w14:textId="77777777" w:rsidR="004A47FA" w:rsidRPr="004A47FA" w:rsidRDefault="004A47FA" w:rsidP="004A47FA">
      <w:pPr>
        <w:tabs>
          <w:tab w:val="left" w:pos="1503"/>
        </w:tabs>
        <w:spacing w:after="0" w:line="240" w:lineRule="auto"/>
        <w:jc w:val="center"/>
        <w:rPr>
          <w:rFonts w:ascii="Times New Roman" w:hAnsi="Times New Roman" w:cs="Times New Roman"/>
          <w:b/>
          <w:sz w:val="24"/>
          <w:szCs w:val="24"/>
          <w:lang w:val="en-US"/>
        </w:rPr>
      </w:pPr>
    </w:p>
    <w:p w14:paraId="3D4C88CD" w14:textId="77777777" w:rsidR="004A47FA" w:rsidRPr="004A47FA" w:rsidRDefault="004A47FA" w:rsidP="004A47FA">
      <w:pPr>
        <w:pStyle w:val="a3"/>
        <w:widowControl w:val="0"/>
        <w:tabs>
          <w:tab w:val="left" w:pos="1503"/>
        </w:tabs>
        <w:autoSpaceDE w:val="0"/>
        <w:autoSpaceDN w:val="0"/>
        <w:spacing w:after="0"/>
        <w:ind w:left="1440"/>
        <w:jc w:val="both"/>
        <w:rPr>
          <w:rFonts w:eastAsia="Calibri"/>
          <w:b/>
          <w:lang w:val="en-US"/>
        </w:rPr>
      </w:pPr>
      <w:r w:rsidRPr="004A47FA">
        <w:rPr>
          <w:rFonts w:eastAsia="Calibri"/>
          <w:b/>
          <w:lang w:val="en-US"/>
        </w:rPr>
        <w:t>Disbursement Specialist (for the Additional Financing)</w:t>
      </w:r>
    </w:p>
    <w:p w14:paraId="0AB02565" w14:textId="77777777" w:rsidR="004A47FA" w:rsidRPr="004A47FA" w:rsidRDefault="004A47FA" w:rsidP="004A47FA">
      <w:pPr>
        <w:pStyle w:val="a3"/>
        <w:widowControl w:val="0"/>
        <w:numPr>
          <w:ilvl w:val="0"/>
          <w:numId w:val="14"/>
        </w:numPr>
        <w:tabs>
          <w:tab w:val="left" w:pos="1503"/>
        </w:tabs>
        <w:autoSpaceDE w:val="0"/>
        <w:autoSpaceDN w:val="0"/>
        <w:spacing w:before="0" w:beforeAutospacing="0" w:after="0" w:afterAutospacing="0"/>
        <w:ind w:left="426"/>
        <w:jc w:val="both"/>
        <w:rPr>
          <w:b/>
          <w:lang w:val="en-US"/>
        </w:rPr>
      </w:pPr>
      <w:r w:rsidRPr="004A47FA">
        <w:rPr>
          <w:b/>
          <w:lang w:val="en-US"/>
        </w:rPr>
        <w:t>General Information</w:t>
      </w:r>
    </w:p>
    <w:p w14:paraId="229741A0" w14:textId="77777777" w:rsidR="004A47FA" w:rsidRPr="004A47FA" w:rsidRDefault="004A47FA" w:rsidP="004A47FA">
      <w:pPr>
        <w:spacing w:after="0"/>
        <w:ind w:firstLine="708"/>
        <w:jc w:val="both"/>
        <w:rPr>
          <w:rFonts w:ascii="Times New Roman" w:hAnsi="Times New Roman" w:cs="Times New Roman"/>
          <w:sz w:val="24"/>
          <w:szCs w:val="24"/>
          <w:lang w:val="en-US"/>
        </w:rPr>
      </w:pPr>
      <w:r w:rsidRPr="004A47FA">
        <w:rPr>
          <w:rFonts w:ascii="Times New Roman" w:hAnsi="Times New Roman" w:cs="Times New Roman"/>
          <w:color w:val="000000"/>
          <w:sz w:val="24"/>
          <w:szCs w:val="24"/>
          <w:lang w:val="en-US"/>
        </w:rPr>
        <w:t>The Ministry of Health of the Kyrgyz Republic is implementing the “Primary Health Care Quality Improvement Operation” project funded by the World Bank.</w:t>
      </w:r>
    </w:p>
    <w:p w14:paraId="1FBD57DE" w14:textId="77777777" w:rsidR="004A47FA" w:rsidRPr="004A47FA" w:rsidRDefault="004A47FA" w:rsidP="004A47FA">
      <w:pPr>
        <w:spacing w:after="0"/>
        <w:jc w:val="both"/>
        <w:rPr>
          <w:rFonts w:ascii="Times New Roman" w:hAnsi="Times New Roman" w:cs="Times New Roman"/>
          <w:color w:val="000000"/>
          <w:sz w:val="24"/>
          <w:szCs w:val="24"/>
          <w:lang w:val="en-US"/>
        </w:rPr>
      </w:pPr>
      <w:r w:rsidRPr="004A47FA">
        <w:rPr>
          <w:rFonts w:ascii="Times New Roman" w:hAnsi="Times New Roman" w:cs="Times New Roman"/>
          <w:color w:val="000000"/>
          <w:sz w:val="24"/>
          <w:szCs w:val="24"/>
          <w:lang w:val="en-US"/>
        </w:rPr>
        <w:t>The Primary Health Care Quality Improvement Operation (hereinafter – PHCQIO) consists of two components. </w:t>
      </w:r>
    </w:p>
    <w:p w14:paraId="3DE090BA" w14:textId="77777777" w:rsidR="004A47FA" w:rsidRPr="004A47FA" w:rsidRDefault="004A47FA" w:rsidP="004A47FA">
      <w:pPr>
        <w:spacing w:after="0"/>
        <w:jc w:val="both"/>
        <w:rPr>
          <w:rFonts w:ascii="Times New Roman" w:hAnsi="Times New Roman" w:cs="Times New Roman"/>
          <w:color w:val="000000"/>
          <w:sz w:val="24"/>
          <w:szCs w:val="24"/>
          <w:lang w:val="en-US"/>
        </w:rPr>
      </w:pPr>
      <w:r w:rsidRPr="004A47FA">
        <w:rPr>
          <w:rFonts w:ascii="Times New Roman" w:hAnsi="Times New Roman" w:cs="Times New Roman"/>
          <w:b/>
          <w:bCs/>
          <w:color w:val="000000"/>
          <w:sz w:val="24"/>
          <w:szCs w:val="24"/>
          <w:lang w:val="en-US"/>
        </w:rPr>
        <w:t xml:space="preserve">Component 1: </w:t>
      </w:r>
      <w:r w:rsidRPr="004A47FA">
        <w:rPr>
          <w:rFonts w:ascii="Times New Roman" w:hAnsi="Times New Roman" w:cs="Times New Roman"/>
          <w:color w:val="000000"/>
          <w:sz w:val="24"/>
          <w:szCs w:val="24"/>
          <w:lang w:val="en-US"/>
        </w:rPr>
        <w:t xml:space="preserve">The PforR Component (Program) includes all result areas/activities and DLIs that currently constitute the PHCQIO Program under the original grant/credit and the RETF. </w:t>
      </w:r>
    </w:p>
    <w:p w14:paraId="6B1D086F" w14:textId="77777777" w:rsidR="004A47FA" w:rsidRPr="004A47FA" w:rsidRDefault="004A47FA" w:rsidP="004A47FA">
      <w:pPr>
        <w:spacing w:after="0"/>
        <w:jc w:val="both"/>
        <w:rPr>
          <w:rFonts w:ascii="Times New Roman" w:hAnsi="Times New Roman" w:cs="Times New Roman"/>
          <w:color w:val="000000"/>
          <w:sz w:val="24"/>
          <w:szCs w:val="24"/>
          <w:lang w:val="en-US"/>
        </w:rPr>
      </w:pPr>
      <w:r w:rsidRPr="004A47FA">
        <w:rPr>
          <w:rFonts w:ascii="Times New Roman" w:hAnsi="Times New Roman" w:cs="Times New Roman"/>
          <w:b/>
          <w:bCs/>
          <w:color w:val="000000"/>
          <w:sz w:val="24"/>
          <w:szCs w:val="24"/>
          <w:lang w:val="en-US"/>
        </w:rPr>
        <w:t xml:space="preserve">Component 2: </w:t>
      </w:r>
      <w:r w:rsidRPr="004A47FA">
        <w:rPr>
          <w:rFonts w:ascii="Times New Roman" w:hAnsi="Times New Roman" w:cs="Times New Roman"/>
          <w:color w:val="000000"/>
          <w:sz w:val="24"/>
          <w:szCs w:val="24"/>
          <w:lang w:val="en-US"/>
        </w:rPr>
        <w:t>The Investment Component (Project)</w:t>
      </w:r>
      <w:r w:rsidRPr="004A47FA">
        <w:rPr>
          <w:rFonts w:ascii="Times New Roman" w:hAnsi="Times New Roman" w:cs="Times New Roman"/>
          <w:b/>
          <w:bCs/>
          <w:color w:val="000000"/>
          <w:sz w:val="24"/>
          <w:szCs w:val="24"/>
          <w:lang w:val="en-US"/>
        </w:rPr>
        <w:t> </w:t>
      </w:r>
      <w:r w:rsidRPr="004A47FA">
        <w:rPr>
          <w:rFonts w:ascii="Times New Roman" w:hAnsi="Times New Roman" w:cs="Times New Roman"/>
          <w:color w:val="000000"/>
          <w:sz w:val="24"/>
          <w:szCs w:val="24"/>
          <w:lang w:val="en-US"/>
        </w:rPr>
        <w:t xml:space="preserve">is financed through Additional Financing and consists of two subcomponents. </w:t>
      </w:r>
    </w:p>
    <w:p w14:paraId="53D9747F" w14:textId="77777777" w:rsidR="004A47FA" w:rsidRPr="004A47FA" w:rsidRDefault="004A47FA" w:rsidP="004A47FA">
      <w:pPr>
        <w:spacing w:after="0"/>
        <w:jc w:val="both"/>
        <w:rPr>
          <w:rFonts w:ascii="Times New Roman" w:hAnsi="Times New Roman" w:cs="Times New Roman"/>
          <w:color w:val="000000"/>
          <w:sz w:val="24"/>
          <w:szCs w:val="24"/>
          <w:lang w:val="en-US"/>
        </w:rPr>
      </w:pPr>
      <w:r w:rsidRPr="004A47FA">
        <w:rPr>
          <w:rFonts w:ascii="Times New Roman" w:hAnsi="Times New Roman" w:cs="Times New Roman"/>
          <w:b/>
          <w:bCs/>
          <w:color w:val="000000"/>
          <w:sz w:val="24"/>
          <w:szCs w:val="24"/>
          <w:lang w:val="en-US"/>
        </w:rPr>
        <w:t xml:space="preserve">Subcomponent 2.1 </w:t>
      </w:r>
      <w:r w:rsidRPr="004A47FA">
        <w:rPr>
          <w:rFonts w:ascii="Times New Roman" w:hAnsi="Times New Roman" w:cs="Times New Roman"/>
          <w:color w:val="000000"/>
          <w:sz w:val="24"/>
          <w:szCs w:val="24"/>
          <w:lang w:val="en-US"/>
        </w:rPr>
        <w:t xml:space="preserve">(goods, non-consulting services, operating costs) will be financed from the new financing under the PHCQIO Multi-Donor Trust Fund (MDTF). </w:t>
      </w:r>
    </w:p>
    <w:p w14:paraId="585714CF" w14:textId="77777777" w:rsidR="004A47FA" w:rsidRPr="004A47FA" w:rsidRDefault="004A47FA" w:rsidP="004A47FA">
      <w:pPr>
        <w:spacing w:after="0"/>
        <w:jc w:val="both"/>
        <w:rPr>
          <w:rFonts w:ascii="Times New Roman" w:hAnsi="Times New Roman" w:cs="Times New Roman"/>
          <w:sz w:val="24"/>
          <w:szCs w:val="24"/>
          <w:lang w:val="en-US"/>
        </w:rPr>
      </w:pPr>
      <w:r w:rsidRPr="004A47FA">
        <w:rPr>
          <w:rFonts w:ascii="Times New Roman" w:hAnsi="Times New Roman" w:cs="Times New Roman"/>
          <w:b/>
          <w:bCs/>
          <w:color w:val="000000"/>
          <w:sz w:val="24"/>
          <w:szCs w:val="24"/>
          <w:lang w:val="en-US"/>
        </w:rPr>
        <w:t xml:space="preserve">Subcomponent 2.2 </w:t>
      </w:r>
      <w:r w:rsidRPr="004A47FA">
        <w:rPr>
          <w:rFonts w:ascii="Times New Roman" w:hAnsi="Times New Roman" w:cs="Times New Roman"/>
          <w:color w:val="000000"/>
          <w:sz w:val="24"/>
          <w:szCs w:val="24"/>
          <w:lang w:val="en-US"/>
        </w:rPr>
        <w:t>(TA – Technical Assistance) will be financed from the Single-Donor Trust Fund (SDTF).</w:t>
      </w:r>
    </w:p>
    <w:p w14:paraId="1FC63FE3" w14:textId="77777777" w:rsidR="004A47FA" w:rsidRPr="004A47FA" w:rsidRDefault="004A47FA" w:rsidP="004A47FA">
      <w:pPr>
        <w:spacing w:after="0"/>
        <w:ind w:firstLine="708"/>
        <w:jc w:val="both"/>
        <w:rPr>
          <w:rFonts w:ascii="Times New Roman" w:hAnsi="Times New Roman" w:cs="Times New Roman"/>
          <w:sz w:val="24"/>
          <w:szCs w:val="24"/>
          <w:lang w:val="en-US"/>
        </w:rPr>
      </w:pPr>
      <w:r w:rsidRPr="004A47FA">
        <w:rPr>
          <w:rFonts w:ascii="Times New Roman" w:hAnsi="Times New Roman" w:cs="Times New Roman"/>
          <w:color w:val="000000"/>
          <w:sz w:val="24"/>
          <w:szCs w:val="24"/>
          <w:lang w:val="en-US"/>
        </w:rPr>
        <w:t>The Program supports three main results areas aimed at strengthening several foundational elements of the health quality improvement system.</w:t>
      </w:r>
    </w:p>
    <w:p w14:paraId="138DB684" w14:textId="77777777" w:rsidR="004A47FA" w:rsidRPr="004A47FA" w:rsidRDefault="004A47FA" w:rsidP="004A47FA">
      <w:pPr>
        <w:spacing w:after="0"/>
        <w:jc w:val="both"/>
        <w:rPr>
          <w:rFonts w:ascii="Times New Roman" w:hAnsi="Times New Roman" w:cs="Times New Roman"/>
          <w:color w:val="000000"/>
          <w:sz w:val="24"/>
          <w:szCs w:val="24"/>
          <w:lang w:val="en-US"/>
        </w:rPr>
      </w:pPr>
      <w:r w:rsidRPr="004A47FA">
        <w:rPr>
          <w:rFonts w:ascii="Times New Roman" w:hAnsi="Times New Roman" w:cs="Times New Roman"/>
          <w:b/>
          <w:bCs/>
          <w:color w:val="000000"/>
          <w:sz w:val="24"/>
          <w:szCs w:val="24"/>
          <w:lang w:val="en-US"/>
        </w:rPr>
        <w:t>Result Area 1:</w:t>
      </w:r>
      <w:r w:rsidRPr="004A47FA">
        <w:rPr>
          <w:rFonts w:ascii="Times New Roman" w:hAnsi="Times New Roman" w:cs="Times New Roman"/>
          <w:color w:val="000000"/>
          <w:sz w:val="24"/>
          <w:szCs w:val="24"/>
          <w:lang w:val="en-US"/>
        </w:rPr>
        <w:t xml:space="preserve"> Integration of sustainable quality improvement mechanisms into the service delivery process.</w:t>
      </w:r>
      <w:r w:rsidRPr="004A47FA">
        <w:rPr>
          <w:rFonts w:ascii="Times New Roman" w:hAnsi="Times New Roman" w:cs="Times New Roman"/>
          <w:color w:val="000000"/>
          <w:sz w:val="24"/>
          <w:szCs w:val="24"/>
          <w:lang w:val="en-US"/>
        </w:rPr>
        <w:br/>
      </w:r>
      <w:r w:rsidRPr="004A47FA">
        <w:rPr>
          <w:rFonts w:ascii="Times New Roman" w:hAnsi="Times New Roman" w:cs="Times New Roman"/>
          <w:b/>
          <w:bCs/>
          <w:color w:val="000000"/>
          <w:sz w:val="24"/>
          <w:szCs w:val="24"/>
          <w:lang w:val="en-US"/>
        </w:rPr>
        <w:t>Result Area 2:</w:t>
      </w:r>
      <w:r w:rsidRPr="004A47FA">
        <w:rPr>
          <w:rFonts w:ascii="Times New Roman" w:hAnsi="Times New Roman" w:cs="Times New Roman"/>
          <w:color w:val="000000"/>
          <w:sz w:val="24"/>
          <w:szCs w:val="24"/>
          <w:lang w:val="en-US"/>
        </w:rPr>
        <w:t xml:space="preserve"> Strengthening strategic purchasing to ensure the quality of health care.</w:t>
      </w:r>
      <w:r w:rsidRPr="004A47FA">
        <w:rPr>
          <w:rFonts w:ascii="Times New Roman" w:hAnsi="Times New Roman" w:cs="Times New Roman"/>
          <w:color w:val="000000"/>
          <w:sz w:val="24"/>
          <w:szCs w:val="24"/>
          <w:lang w:val="en-US"/>
        </w:rPr>
        <w:br/>
      </w:r>
      <w:r w:rsidRPr="004A47FA">
        <w:rPr>
          <w:rFonts w:ascii="Times New Roman" w:hAnsi="Times New Roman" w:cs="Times New Roman"/>
          <w:b/>
          <w:bCs/>
          <w:color w:val="000000"/>
          <w:sz w:val="24"/>
          <w:szCs w:val="24"/>
          <w:lang w:val="en-US"/>
        </w:rPr>
        <w:t>Result Area 3:</w:t>
      </w:r>
      <w:r w:rsidRPr="004A47FA">
        <w:rPr>
          <w:rFonts w:ascii="Times New Roman" w:hAnsi="Times New Roman" w:cs="Times New Roman"/>
          <w:color w:val="000000"/>
          <w:sz w:val="24"/>
          <w:szCs w:val="24"/>
          <w:lang w:val="en-US"/>
        </w:rPr>
        <w:t xml:space="preserve"> Strengthening governance and management in the health sector to improve quality.</w:t>
      </w:r>
    </w:p>
    <w:p w14:paraId="3E9FB1A2" w14:textId="77777777" w:rsidR="004A47FA" w:rsidRPr="004A47FA" w:rsidRDefault="004A47FA" w:rsidP="004A47FA">
      <w:pPr>
        <w:pStyle w:val="a6"/>
        <w:spacing w:after="0"/>
        <w:jc w:val="both"/>
        <w:rPr>
          <w:lang w:val="en-US"/>
        </w:rPr>
      </w:pPr>
      <w:r w:rsidRPr="004A47FA">
        <w:rPr>
          <w:lang w:val="en-US"/>
        </w:rPr>
        <w:t>The program is implemented by the Ministry of Economy and Finance of the Kyrgyz Republic, the Ministry of Health of the Kyrgyz Republic, and the Mandatory Health Insurance Fund under the Ministry of Health of the Kyrgyz Republic.</w:t>
      </w:r>
    </w:p>
    <w:p w14:paraId="0F6E58DD" w14:textId="77777777" w:rsidR="004A47FA" w:rsidRPr="004A47FA" w:rsidRDefault="004A47FA" w:rsidP="004A47FA">
      <w:pPr>
        <w:pStyle w:val="a6"/>
        <w:spacing w:after="0"/>
        <w:jc w:val="both"/>
        <w:rPr>
          <w:b/>
          <w:lang w:val="en-US"/>
        </w:rPr>
      </w:pPr>
      <w:r w:rsidRPr="004A47FA">
        <w:rPr>
          <w:b/>
          <w:lang w:val="en-US"/>
        </w:rPr>
        <w:t xml:space="preserve">II. Purpose of the assignment </w:t>
      </w:r>
    </w:p>
    <w:p w14:paraId="1753D4EE" w14:textId="77777777" w:rsidR="004A47FA" w:rsidRPr="004A47FA" w:rsidRDefault="004A47FA" w:rsidP="004A47FA">
      <w:pPr>
        <w:pStyle w:val="a6"/>
        <w:spacing w:after="0"/>
        <w:jc w:val="both"/>
        <w:rPr>
          <w:lang w:val="en-US"/>
        </w:rPr>
      </w:pPr>
      <w:r w:rsidRPr="004A47FA">
        <w:rPr>
          <w:lang w:val="en-US"/>
        </w:rPr>
        <w:t xml:space="preserve"> The main purpose of the Terms of Reference is to ensure and monitor the timely withdrawal of funds, document the process of withdrawing funds, and monitor the correct use of funds for this project.</w:t>
      </w:r>
    </w:p>
    <w:p w14:paraId="061C5C3F" w14:textId="77777777" w:rsidR="004A47FA" w:rsidRPr="004A47FA" w:rsidRDefault="004A47FA" w:rsidP="004A47FA">
      <w:pPr>
        <w:pStyle w:val="a6"/>
        <w:spacing w:after="0"/>
        <w:jc w:val="both"/>
        <w:rPr>
          <w:b/>
          <w:lang w:val="en-US"/>
        </w:rPr>
      </w:pPr>
      <w:r w:rsidRPr="004A47FA">
        <w:rPr>
          <w:b/>
          <w:lang w:val="en-US"/>
        </w:rPr>
        <w:t xml:space="preserve">III.    Responsibilities and Accountability  </w:t>
      </w:r>
    </w:p>
    <w:p w14:paraId="090B8FB1" w14:textId="77777777" w:rsidR="004A47FA" w:rsidRPr="004A47FA" w:rsidRDefault="004A47FA" w:rsidP="004A47FA">
      <w:pPr>
        <w:pStyle w:val="a6"/>
        <w:spacing w:after="0"/>
        <w:jc w:val="both"/>
        <w:rPr>
          <w:lang w:val="en-US"/>
        </w:rPr>
      </w:pPr>
      <w:r w:rsidRPr="004A47FA">
        <w:rPr>
          <w:lang w:val="en-US"/>
        </w:rPr>
        <w:t>To carry out financial management of the project, the PIU hires a Payment Specialist.</w:t>
      </w:r>
    </w:p>
    <w:p w14:paraId="1B9432A0" w14:textId="77777777" w:rsidR="004A47FA" w:rsidRPr="004A47FA" w:rsidRDefault="004A47FA" w:rsidP="004A47FA">
      <w:pPr>
        <w:pStyle w:val="a6"/>
        <w:spacing w:after="0"/>
        <w:jc w:val="both"/>
        <w:rPr>
          <w:lang w:val="en-US"/>
        </w:rPr>
      </w:pPr>
      <w:r w:rsidRPr="004A47FA">
        <w:rPr>
          <w:lang w:val="en-US"/>
        </w:rPr>
        <w:t>The specific responsibilities of the Payment Specialist include, but are not limited to, the following:</w:t>
      </w:r>
    </w:p>
    <w:p w14:paraId="1F66D5E1" w14:textId="77777777" w:rsidR="004A47FA" w:rsidRPr="004A47FA" w:rsidRDefault="004A47FA" w:rsidP="004A47FA">
      <w:pPr>
        <w:spacing w:line="240" w:lineRule="auto"/>
        <w:jc w:val="both"/>
        <w:rPr>
          <w:rFonts w:ascii="Times New Roman" w:hAnsi="Times New Roman" w:cs="Times New Roman"/>
          <w:sz w:val="24"/>
          <w:szCs w:val="24"/>
          <w:lang w:val="en-GB"/>
        </w:rPr>
      </w:pPr>
      <w:r w:rsidRPr="004A47FA">
        <w:rPr>
          <w:rFonts w:ascii="Times New Roman" w:hAnsi="Times New Roman" w:cs="Times New Roman"/>
          <w:sz w:val="24"/>
          <w:szCs w:val="24"/>
          <w:lang w:val="en-GB"/>
        </w:rPr>
        <w:t>• Reviewing and preparing payment requests in accordance with World Bank procedures and in accordance with the Financing Agreements for all types of Applications - advances, replenishment of CC, direct payments, special obligation (letter of credit) on the World Bank's virtual platform Client Connection WB;</w:t>
      </w:r>
    </w:p>
    <w:p w14:paraId="4727E397" w14:textId="77777777" w:rsidR="004A47FA" w:rsidRPr="004A47FA" w:rsidRDefault="004A47FA" w:rsidP="004A47FA">
      <w:pPr>
        <w:spacing w:line="240" w:lineRule="auto"/>
        <w:jc w:val="both"/>
        <w:rPr>
          <w:rFonts w:ascii="Times New Roman" w:hAnsi="Times New Roman" w:cs="Times New Roman"/>
          <w:sz w:val="24"/>
          <w:szCs w:val="24"/>
          <w:lang w:val="en-US"/>
        </w:rPr>
      </w:pPr>
      <w:r w:rsidRPr="004A47FA">
        <w:rPr>
          <w:rFonts w:ascii="Times New Roman" w:hAnsi="Times New Roman" w:cs="Times New Roman"/>
          <w:sz w:val="24"/>
          <w:szCs w:val="24"/>
          <w:lang w:val="en-GB"/>
        </w:rPr>
        <w:lastRenderedPageBreak/>
        <w:t xml:space="preserve">• Carrying out payments made by the PIU in accordance with financial management and control procedures acceptable for the project and the legislation of the Kyrgyz Republic for all project accounts - special accounts Credit, Grant, Transit, interest, tender accounts. </w:t>
      </w:r>
      <w:r w:rsidRPr="004A47FA">
        <w:rPr>
          <w:rFonts w:ascii="Times New Roman" w:hAnsi="Times New Roman" w:cs="Times New Roman"/>
          <w:sz w:val="24"/>
          <w:szCs w:val="24"/>
          <w:lang w:val="en-US"/>
        </w:rPr>
        <w:t>Prepare payment orders for disbursements in accordance with approved budget/plan amounts once approved, and in accordance with IDA's Financial Management Manual, Loan Agreement and other established accounting procedures, operating manuals and accounting systems, as appropriate.</w:t>
      </w:r>
    </w:p>
    <w:p w14:paraId="6053034D" w14:textId="77777777" w:rsidR="004A47FA" w:rsidRPr="004A47FA" w:rsidRDefault="004A47FA" w:rsidP="004A47FA">
      <w:pPr>
        <w:spacing w:line="240" w:lineRule="auto"/>
        <w:jc w:val="both"/>
        <w:rPr>
          <w:rFonts w:ascii="Times New Roman" w:hAnsi="Times New Roman" w:cs="Times New Roman"/>
          <w:sz w:val="24"/>
          <w:szCs w:val="24"/>
          <w:lang w:val="en-GB"/>
        </w:rPr>
      </w:pPr>
      <w:r w:rsidRPr="004A47FA">
        <w:rPr>
          <w:rFonts w:ascii="Times New Roman" w:hAnsi="Times New Roman" w:cs="Times New Roman"/>
          <w:sz w:val="24"/>
          <w:szCs w:val="24"/>
          <w:lang w:val="en-GB"/>
        </w:rPr>
        <w:t>• Calculation of wages to employees, consultants - individuals, in accordance with the procedures of the World Bank and the legislation of the Kyrgyz Republic</w:t>
      </w:r>
    </w:p>
    <w:p w14:paraId="6BB28CF1" w14:textId="77777777" w:rsidR="004A47FA" w:rsidRPr="004A47FA" w:rsidRDefault="004A47FA" w:rsidP="004A47FA">
      <w:pPr>
        <w:spacing w:line="240" w:lineRule="auto"/>
        <w:jc w:val="both"/>
        <w:rPr>
          <w:rFonts w:ascii="Times New Roman" w:hAnsi="Times New Roman" w:cs="Times New Roman"/>
          <w:sz w:val="24"/>
          <w:szCs w:val="24"/>
          <w:lang w:val="en-GB"/>
        </w:rPr>
      </w:pPr>
      <w:r w:rsidRPr="004A47FA">
        <w:rPr>
          <w:rFonts w:ascii="Times New Roman" w:hAnsi="Times New Roman" w:cs="Times New Roman"/>
          <w:sz w:val="24"/>
          <w:szCs w:val="24"/>
          <w:lang w:val="en-GB"/>
        </w:rPr>
        <w:t>• Maintaining financial records and reports for the project, carried out by the PIU in accordance with financial management and control procedures acceptable to the project and the legislation of the Kyrgyz Republic;</w:t>
      </w:r>
    </w:p>
    <w:p w14:paraId="3BD5EFF0" w14:textId="77777777" w:rsidR="004A47FA" w:rsidRPr="004A47FA" w:rsidRDefault="004A47FA" w:rsidP="004A47FA">
      <w:pPr>
        <w:spacing w:line="240" w:lineRule="auto"/>
        <w:jc w:val="both"/>
        <w:rPr>
          <w:rFonts w:ascii="Times New Roman" w:hAnsi="Times New Roman" w:cs="Times New Roman"/>
          <w:sz w:val="24"/>
          <w:szCs w:val="24"/>
          <w:lang w:val="en-GB"/>
        </w:rPr>
      </w:pPr>
      <w:r w:rsidRPr="004A47FA">
        <w:rPr>
          <w:rFonts w:ascii="Times New Roman" w:hAnsi="Times New Roman" w:cs="Times New Roman"/>
          <w:sz w:val="24"/>
          <w:szCs w:val="24"/>
          <w:lang w:val="en-GB"/>
        </w:rPr>
        <w:t xml:space="preserve">• Carrying out activities necessary to </w:t>
      </w:r>
      <w:proofErr w:type="spellStart"/>
      <w:r w:rsidRPr="004A47FA">
        <w:rPr>
          <w:rFonts w:ascii="Times New Roman" w:hAnsi="Times New Roman" w:cs="Times New Roman"/>
          <w:sz w:val="24"/>
          <w:szCs w:val="24"/>
          <w:lang w:val="en-GB"/>
        </w:rPr>
        <w:t>fulfill</w:t>
      </w:r>
      <w:proofErr w:type="spellEnd"/>
      <w:r w:rsidRPr="004A47FA">
        <w:rPr>
          <w:rFonts w:ascii="Times New Roman" w:hAnsi="Times New Roman" w:cs="Times New Roman"/>
          <w:sz w:val="24"/>
          <w:szCs w:val="24"/>
          <w:lang w:val="en-GB"/>
        </w:rPr>
        <w:t xml:space="preserve"> all obligations in accordance with the World Bank Payment Guidelines, managing the Special Account and other bank accounts;    </w:t>
      </w:r>
    </w:p>
    <w:p w14:paraId="1962A3BB" w14:textId="77777777" w:rsidR="004A47FA" w:rsidRPr="004A47FA" w:rsidRDefault="004A47FA" w:rsidP="004A47FA">
      <w:pPr>
        <w:spacing w:line="240" w:lineRule="auto"/>
        <w:jc w:val="both"/>
        <w:rPr>
          <w:rFonts w:ascii="Times New Roman" w:hAnsi="Times New Roman" w:cs="Times New Roman"/>
          <w:sz w:val="24"/>
          <w:szCs w:val="24"/>
          <w:lang w:val="en-GB"/>
        </w:rPr>
      </w:pPr>
      <w:r w:rsidRPr="004A47FA">
        <w:rPr>
          <w:rFonts w:ascii="Times New Roman" w:hAnsi="Times New Roman" w:cs="Times New Roman"/>
          <w:sz w:val="24"/>
          <w:szCs w:val="24"/>
          <w:lang w:val="en-GB"/>
        </w:rPr>
        <w:t xml:space="preserve">• Timely preparation of payment reports and reconciliation of these reports with the reports of external financial specialists; </w:t>
      </w:r>
    </w:p>
    <w:p w14:paraId="782FF2BB" w14:textId="77777777" w:rsidR="004A47FA" w:rsidRPr="004A47FA" w:rsidRDefault="004A47FA" w:rsidP="004A47FA">
      <w:pPr>
        <w:spacing w:line="240" w:lineRule="auto"/>
        <w:jc w:val="both"/>
        <w:rPr>
          <w:rFonts w:ascii="Times New Roman" w:hAnsi="Times New Roman" w:cs="Times New Roman"/>
          <w:sz w:val="24"/>
          <w:szCs w:val="24"/>
          <w:lang w:val="en-GB"/>
        </w:rPr>
      </w:pPr>
      <w:r w:rsidRPr="004A47FA">
        <w:rPr>
          <w:rFonts w:ascii="Times New Roman" w:hAnsi="Times New Roman" w:cs="Times New Roman"/>
          <w:sz w:val="24"/>
          <w:szCs w:val="24"/>
          <w:lang w:val="en-GB"/>
        </w:rPr>
        <w:t>• Maintaining the cash desk, settlements with accountable persons, accounting for inventory, consumables, fixed assets, and calculating salaries for consultants;</w:t>
      </w:r>
    </w:p>
    <w:p w14:paraId="627FD9CE" w14:textId="77777777" w:rsidR="004A47FA" w:rsidRPr="004A47FA" w:rsidRDefault="004A47FA" w:rsidP="004A47FA">
      <w:pPr>
        <w:spacing w:line="240" w:lineRule="auto"/>
        <w:jc w:val="both"/>
        <w:rPr>
          <w:rFonts w:ascii="Times New Roman" w:hAnsi="Times New Roman" w:cs="Times New Roman"/>
          <w:sz w:val="24"/>
          <w:szCs w:val="24"/>
          <w:lang w:val="en-US"/>
        </w:rPr>
      </w:pPr>
      <w:r w:rsidRPr="004A47FA">
        <w:rPr>
          <w:rFonts w:ascii="Times New Roman" w:hAnsi="Times New Roman" w:cs="Times New Roman"/>
          <w:sz w:val="24"/>
          <w:szCs w:val="24"/>
          <w:lang w:val="en-US"/>
        </w:rPr>
        <w:t>Accounting for inventory, fixed assets;</w:t>
      </w:r>
    </w:p>
    <w:p w14:paraId="5DD3A700" w14:textId="77777777" w:rsidR="004A47FA" w:rsidRPr="004A47FA" w:rsidRDefault="004A47FA" w:rsidP="004A47FA">
      <w:pPr>
        <w:spacing w:line="240" w:lineRule="auto"/>
        <w:jc w:val="both"/>
        <w:rPr>
          <w:rFonts w:ascii="Times New Roman" w:hAnsi="Times New Roman" w:cs="Times New Roman"/>
          <w:sz w:val="24"/>
          <w:szCs w:val="24"/>
          <w:lang w:val="en-GB"/>
        </w:rPr>
      </w:pPr>
      <w:r w:rsidRPr="004A47FA">
        <w:rPr>
          <w:rFonts w:ascii="Times New Roman" w:hAnsi="Times New Roman" w:cs="Times New Roman"/>
          <w:sz w:val="24"/>
          <w:szCs w:val="24"/>
          <w:lang w:val="en-GB"/>
        </w:rPr>
        <w:t>• Performing any other duties reasonably delegated by the Director and/or Financial Manager;</w:t>
      </w:r>
    </w:p>
    <w:p w14:paraId="1BBA8BCF" w14:textId="77777777" w:rsidR="004A47FA" w:rsidRPr="004A47FA" w:rsidRDefault="004A47FA" w:rsidP="004A47FA">
      <w:pPr>
        <w:spacing w:line="240" w:lineRule="auto"/>
        <w:jc w:val="both"/>
        <w:rPr>
          <w:rFonts w:ascii="Times New Roman" w:hAnsi="Times New Roman" w:cs="Times New Roman"/>
          <w:sz w:val="24"/>
          <w:szCs w:val="24"/>
          <w:lang w:val="en-US"/>
        </w:rPr>
      </w:pPr>
      <w:r w:rsidRPr="004A47FA">
        <w:rPr>
          <w:rFonts w:ascii="Times New Roman" w:hAnsi="Times New Roman" w:cs="Times New Roman"/>
          <w:sz w:val="24"/>
          <w:szCs w:val="24"/>
          <w:lang w:val="en-US"/>
        </w:rPr>
        <w:t>• Providing regular standard reports in accordance with Kyrgyz legislation (Social Fund, State Tax Service under the Kyrgyz Republic, National Statistical Committee);</w:t>
      </w:r>
    </w:p>
    <w:p w14:paraId="5E9251C0" w14:textId="77777777" w:rsidR="004A47FA" w:rsidRPr="004A47FA" w:rsidRDefault="004A47FA" w:rsidP="004A47FA">
      <w:pPr>
        <w:spacing w:line="240" w:lineRule="auto"/>
        <w:jc w:val="both"/>
        <w:rPr>
          <w:rFonts w:ascii="Times New Roman" w:hAnsi="Times New Roman" w:cs="Times New Roman"/>
          <w:sz w:val="24"/>
          <w:szCs w:val="24"/>
          <w:lang w:val="en-GB"/>
        </w:rPr>
      </w:pPr>
      <w:r w:rsidRPr="004A47FA">
        <w:rPr>
          <w:rFonts w:ascii="Times New Roman" w:hAnsi="Times New Roman" w:cs="Times New Roman"/>
          <w:sz w:val="24"/>
          <w:szCs w:val="24"/>
          <w:lang w:val="en-GB"/>
        </w:rPr>
        <w:t>• Ensuring timely submission of reports to the World Bank (SOE and IFR)</w:t>
      </w:r>
    </w:p>
    <w:p w14:paraId="2E570C84" w14:textId="77777777" w:rsidR="004A47FA" w:rsidRPr="004A47FA" w:rsidRDefault="004A47FA" w:rsidP="004A47FA">
      <w:pPr>
        <w:spacing w:line="240" w:lineRule="auto"/>
        <w:jc w:val="both"/>
        <w:rPr>
          <w:rFonts w:ascii="Times New Roman" w:hAnsi="Times New Roman" w:cs="Times New Roman"/>
          <w:sz w:val="24"/>
          <w:szCs w:val="24"/>
          <w:lang w:val="en-GB"/>
        </w:rPr>
      </w:pPr>
      <w:r w:rsidRPr="004A47FA">
        <w:rPr>
          <w:rFonts w:ascii="Times New Roman" w:hAnsi="Times New Roman" w:cs="Times New Roman"/>
          <w:sz w:val="24"/>
          <w:szCs w:val="24"/>
          <w:lang w:val="en-GB"/>
        </w:rPr>
        <w:t>• Preparing balance sheets and appendices to monthly, quarterly, and annual reports for the World Bank, Ministry of Health, and Ministry of Finance of the Kyrgyz Republic.</w:t>
      </w:r>
    </w:p>
    <w:p w14:paraId="5C87EEA8" w14:textId="77777777" w:rsidR="004A47FA" w:rsidRPr="004A47FA" w:rsidRDefault="004A47FA" w:rsidP="004A47FA">
      <w:pPr>
        <w:pStyle w:val="a6"/>
        <w:spacing w:after="0"/>
        <w:jc w:val="both"/>
        <w:rPr>
          <w:b/>
          <w:lang w:val="en-US"/>
        </w:rPr>
      </w:pPr>
      <w:r w:rsidRPr="004A47FA">
        <w:rPr>
          <w:b/>
          <w:lang w:val="en-US"/>
        </w:rPr>
        <w:t>IV. Qualifications and experience:</w:t>
      </w:r>
    </w:p>
    <w:p w14:paraId="65DB808A" w14:textId="77777777" w:rsidR="004A47FA" w:rsidRPr="004A47FA" w:rsidRDefault="004A47FA" w:rsidP="004A47FA">
      <w:pPr>
        <w:pStyle w:val="a6"/>
        <w:spacing w:after="0"/>
        <w:jc w:val="both"/>
        <w:rPr>
          <w:b/>
          <w:lang w:val="en-US"/>
        </w:rPr>
      </w:pPr>
      <w:r w:rsidRPr="004A47FA">
        <w:rPr>
          <w:lang w:val="en-US"/>
        </w:rPr>
        <w:t xml:space="preserve">• Higher education in accounting, finance, economics, or management (attach a copy of your diploma) and a certificate of completion (International Financial Reporting Standards) </w:t>
      </w:r>
      <w:r w:rsidRPr="004A47FA">
        <w:rPr>
          <w:b/>
          <w:lang w:val="en-US"/>
        </w:rPr>
        <w:t>(25 points);</w:t>
      </w:r>
    </w:p>
    <w:p w14:paraId="30DF2259" w14:textId="77777777" w:rsidR="004A47FA" w:rsidRPr="004A47FA" w:rsidRDefault="004A47FA" w:rsidP="004A47FA">
      <w:pPr>
        <w:pStyle w:val="a6"/>
        <w:spacing w:after="0"/>
        <w:jc w:val="both"/>
        <w:rPr>
          <w:lang w:val="en-US"/>
        </w:rPr>
      </w:pPr>
      <w:r w:rsidRPr="004A47FA">
        <w:rPr>
          <w:lang w:val="en-US"/>
        </w:rPr>
        <w:t>•</w:t>
      </w:r>
      <w:r w:rsidRPr="004A47FA">
        <w:rPr>
          <w:lang w:val="en-GB"/>
        </w:rPr>
        <w:t xml:space="preserve"> </w:t>
      </w:r>
      <w:r w:rsidRPr="004A47FA">
        <w:rPr>
          <w:lang w:val="en-US"/>
        </w:rPr>
        <w:t xml:space="preserve">More than 3 years of experience in accounting and payroll, experience in the healthcare system is an advantage (attach resume, copy of employment record book or contracts) </w:t>
      </w:r>
      <w:r w:rsidRPr="004A47FA">
        <w:rPr>
          <w:b/>
          <w:lang w:val="en-US"/>
        </w:rPr>
        <w:t>(35 points);</w:t>
      </w:r>
    </w:p>
    <w:p w14:paraId="7B357F9A" w14:textId="77777777" w:rsidR="004A47FA" w:rsidRPr="004A47FA" w:rsidRDefault="004A47FA" w:rsidP="004A47FA">
      <w:pPr>
        <w:pStyle w:val="a6"/>
        <w:spacing w:after="0"/>
        <w:jc w:val="both"/>
        <w:rPr>
          <w:lang w:val="en-US"/>
        </w:rPr>
      </w:pPr>
      <w:r w:rsidRPr="004A47FA">
        <w:rPr>
          <w:lang w:val="en-US"/>
        </w:rPr>
        <w:t>•</w:t>
      </w:r>
      <w:r w:rsidRPr="004A47FA">
        <w:rPr>
          <w:lang w:val="en-GB"/>
        </w:rPr>
        <w:t xml:space="preserve"> </w:t>
      </w:r>
      <w:r w:rsidRPr="004A47FA">
        <w:rPr>
          <w:lang w:val="en-US"/>
        </w:rPr>
        <w:t xml:space="preserve">Knowledge of accounting theory and practice, budgeting and cash flow management, as well as practical knowledge of working with 1C accounting software (attach certificates), knowledge of Microsoft Office applications (Word, Excel, PowerPoint) is required. </w:t>
      </w:r>
      <w:r w:rsidRPr="004A47FA">
        <w:rPr>
          <w:b/>
          <w:lang w:val="en-US"/>
        </w:rPr>
        <w:t>(30 points)</w:t>
      </w:r>
    </w:p>
    <w:p w14:paraId="4E6D3DE4" w14:textId="77777777" w:rsidR="004A47FA" w:rsidRPr="004A47FA" w:rsidRDefault="004A47FA" w:rsidP="004A47FA">
      <w:pPr>
        <w:pStyle w:val="a6"/>
        <w:spacing w:after="0"/>
        <w:jc w:val="both"/>
        <w:rPr>
          <w:b/>
          <w:lang w:val="en-US"/>
        </w:rPr>
      </w:pPr>
      <w:r w:rsidRPr="004A47FA">
        <w:rPr>
          <w:lang w:val="en-US"/>
        </w:rPr>
        <w:t xml:space="preserve">• Participation in international projects </w:t>
      </w:r>
      <w:r w:rsidRPr="004A47FA">
        <w:rPr>
          <w:b/>
          <w:lang w:val="en-US"/>
        </w:rPr>
        <w:t>(10 points);</w:t>
      </w:r>
    </w:p>
    <w:p w14:paraId="4FEC32E9" w14:textId="77777777" w:rsidR="004A47FA" w:rsidRPr="004A47FA" w:rsidRDefault="004A47FA" w:rsidP="004A47FA">
      <w:pPr>
        <w:pStyle w:val="a6"/>
        <w:spacing w:after="0"/>
        <w:jc w:val="both"/>
        <w:rPr>
          <w:b/>
          <w:lang w:val="en-US"/>
        </w:rPr>
      </w:pPr>
    </w:p>
    <w:p w14:paraId="336A01BE" w14:textId="77777777" w:rsidR="004A47FA" w:rsidRPr="004A47FA" w:rsidRDefault="004A47FA" w:rsidP="004A47FA">
      <w:pPr>
        <w:pStyle w:val="a6"/>
        <w:spacing w:after="0"/>
        <w:jc w:val="both"/>
        <w:rPr>
          <w:b/>
          <w:lang w:val="en-US"/>
        </w:rPr>
      </w:pPr>
      <w:r w:rsidRPr="004A47FA">
        <w:rPr>
          <w:b/>
          <w:lang w:val="en-US"/>
        </w:rPr>
        <w:t>V.    Work organization and reporting</w:t>
      </w:r>
    </w:p>
    <w:p w14:paraId="04D19B7C" w14:textId="77777777" w:rsidR="004A47FA" w:rsidRPr="004A47FA" w:rsidRDefault="004A47FA" w:rsidP="004A47FA">
      <w:pPr>
        <w:pStyle w:val="a6"/>
        <w:spacing w:after="0"/>
        <w:jc w:val="both"/>
        <w:rPr>
          <w:lang w:val="en-US"/>
        </w:rPr>
      </w:pPr>
    </w:p>
    <w:p w14:paraId="7846A621" w14:textId="77777777" w:rsidR="004A47FA" w:rsidRPr="004A47FA" w:rsidRDefault="004A47FA" w:rsidP="004A47FA">
      <w:pPr>
        <w:pStyle w:val="a6"/>
        <w:spacing w:after="0"/>
        <w:jc w:val="both"/>
        <w:rPr>
          <w:lang w:val="en-US"/>
        </w:rPr>
      </w:pPr>
      <w:r w:rsidRPr="004A47FA">
        <w:rPr>
          <w:lang w:val="en-US"/>
        </w:rPr>
        <w:lastRenderedPageBreak/>
        <w:t>The contract is for a period of 12 months with possible extension based on performance evaluation and project needs.</w:t>
      </w:r>
    </w:p>
    <w:p w14:paraId="49604822" w14:textId="77777777" w:rsidR="004A47FA" w:rsidRPr="004A47FA" w:rsidRDefault="004A47FA" w:rsidP="004A47FA">
      <w:pPr>
        <w:pStyle w:val="a6"/>
        <w:spacing w:after="0"/>
        <w:jc w:val="both"/>
        <w:rPr>
          <w:lang w:val="en-US"/>
        </w:rPr>
      </w:pPr>
      <w:r w:rsidRPr="004A47FA">
        <w:rPr>
          <w:lang w:val="en-US"/>
        </w:rPr>
        <w:t>In their work, the payment specialist is accountable to the PIU director and the PIU financial manager.</w:t>
      </w:r>
    </w:p>
    <w:p w14:paraId="0DBC1BD8" w14:textId="77777777" w:rsidR="004A47FA" w:rsidRPr="004A47FA" w:rsidRDefault="004A47FA" w:rsidP="004A47FA">
      <w:pPr>
        <w:pStyle w:val="a6"/>
        <w:spacing w:after="0"/>
        <w:jc w:val="both"/>
        <w:rPr>
          <w:lang w:val="en-US"/>
        </w:rPr>
      </w:pPr>
      <w:r w:rsidRPr="004A47FA">
        <w:rPr>
          <w:lang w:val="en-US"/>
        </w:rPr>
        <w:t>The consultant is required to provide monthly reports detailing the work performed during the reporting period.</w:t>
      </w:r>
    </w:p>
    <w:p w14:paraId="0484D8A2" w14:textId="77777777" w:rsidR="004A47FA" w:rsidRPr="004A47FA" w:rsidRDefault="004A47FA" w:rsidP="004A47FA">
      <w:pPr>
        <w:pStyle w:val="a6"/>
        <w:numPr>
          <w:ilvl w:val="0"/>
          <w:numId w:val="13"/>
        </w:numPr>
        <w:spacing w:before="0" w:beforeAutospacing="0" w:after="0" w:afterAutospacing="0"/>
        <w:jc w:val="both"/>
        <w:rPr>
          <w:b/>
          <w:lang w:val="en-US"/>
        </w:rPr>
      </w:pPr>
      <w:r w:rsidRPr="004A47FA">
        <w:rPr>
          <w:b/>
          <w:lang w:val="en-US"/>
        </w:rPr>
        <w:t>Resources provided by the employer</w:t>
      </w:r>
    </w:p>
    <w:p w14:paraId="777763F0" w14:textId="77777777" w:rsidR="004A47FA" w:rsidRPr="004A47FA" w:rsidRDefault="004A47FA" w:rsidP="004A47FA">
      <w:pPr>
        <w:pStyle w:val="a6"/>
        <w:spacing w:after="0"/>
        <w:ind w:left="360"/>
        <w:jc w:val="both"/>
        <w:rPr>
          <w:lang w:val="en-US"/>
        </w:rPr>
      </w:pPr>
      <w:r w:rsidRPr="004A47FA">
        <w:rPr>
          <w:lang w:val="en-US"/>
        </w:rPr>
        <w:t xml:space="preserve"> Office and technical equipment, basic office supplies necessary for the implementation of the TOR.</w:t>
      </w:r>
    </w:p>
    <w:p w14:paraId="1B349966" w14:textId="1C009E53" w:rsidR="002C410B" w:rsidRPr="004A47FA" w:rsidRDefault="002C410B" w:rsidP="004A47FA">
      <w:pPr>
        <w:tabs>
          <w:tab w:val="left" w:pos="1503"/>
        </w:tabs>
        <w:spacing w:after="0" w:line="240" w:lineRule="auto"/>
        <w:jc w:val="center"/>
        <w:rPr>
          <w:rFonts w:ascii="Times New Roman" w:hAnsi="Times New Roman" w:cs="Times New Roman"/>
          <w:sz w:val="24"/>
          <w:szCs w:val="24"/>
          <w:lang w:val="en-US"/>
        </w:rPr>
      </w:pPr>
    </w:p>
    <w:sectPr w:rsidR="002C410B" w:rsidRPr="004A4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6CCA"/>
    <w:multiLevelType w:val="multilevel"/>
    <w:tmpl w:val="7E56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05BA"/>
    <w:multiLevelType w:val="multilevel"/>
    <w:tmpl w:val="D410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01F34"/>
    <w:multiLevelType w:val="hybridMultilevel"/>
    <w:tmpl w:val="3B86FB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8F611BC"/>
    <w:multiLevelType w:val="hybridMultilevel"/>
    <w:tmpl w:val="B7E43344"/>
    <w:lvl w:ilvl="0" w:tplc="5D7A72C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ACA348F"/>
    <w:multiLevelType w:val="multilevel"/>
    <w:tmpl w:val="1012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91887"/>
    <w:multiLevelType w:val="hybridMultilevel"/>
    <w:tmpl w:val="31BE9B0C"/>
    <w:lvl w:ilvl="0" w:tplc="041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999734D"/>
    <w:multiLevelType w:val="multilevel"/>
    <w:tmpl w:val="574A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57B23"/>
    <w:multiLevelType w:val="multilevel"/>
    <w:tmpl w:val="9624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833F7"/>
    <w:multiLevelType w:val="hybridMultilevel"/>
    <w:tmpl w:val="A5B0C8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B2058C"/>
    <w:multiLevelType w:val="multilevel"/>
    <w:tmpl w:val="FBC8D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554CE5"/>
    <w:multiLevelType w:val="multilevel"/>
    <w:tmpl w:val="42E2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D70BF"/>
    <w:multiLevelType w:val="multilevel"/>
    <w:tmpl w:val="326A5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D83F81"/>
    <w:multiLevelType w:val="multilevel"/>
    <w:tmpl w:val="0886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D848EA"/>
    <w:multiLevelType w:val="multilevel"/>
    <w:tmpl w:val="F99A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709988">
    <w:abstractNumId w:val="9"/>
  </w:num>
  <w:num w:numId="2" w16cid:durableId="1869945750">
    <w:abstractNumId w:val="4"/>
  </w:num>
  <w:num w:numId="3" w16cid:durableId="612979581">
    <w:abstractNumId w:val="10"/>
  </w:num>
  <w:num w:numId="4" w16cid:durableId="66538467">
    <w:abstractNumId w:val="1"/>
  </w:num>
  <w:num w:numId="5" w16cid:durableId="1247569235">
    <w:abstractNumId w:val="12"/>
  </w:num>
  <w:num w:numId="6" w16cid:durableId="1112937792">
    <w:abstractNumId w:val="11"/>
  </w:num>
  <w:num w:numId="7" w16cid:durableId="2088578047">
    <w:abstractNumId w:val="0"/>
  </w:num>
  <w:num w:numId="8" w16cid:durableId="598299872">
    <w:abstractNumId w:val="6"/>
  </w:num>
  <w:num w:numId="9" w16cid:durableId="2008553312">
    <w:abstractNumId w:val="13"/>
  </w:num>
  <w:num w:numId="10" w16cid:durableId="2014986749">
    <w:abstractNumId w:val="7"/>
  </w:num>
  <w:num w:numId="11" w16cid:durableId="602348748">
    <w:abstractNumId w:val="2"/>
  </w:num>
  <w:num w:numId="12" w16cid:durableId="552542470">
    <w:abstractNumId w:val="5"/>
  </w:num>
  <w:num w:numId="13" w16cid:durableId="1190801171">
    <w:abstractNumId w:val="8"/>
  </w:num>
  <w:num w:numId="14" w16cid:durableId="836924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57"/>
    <w:rsid w:val="00074D14"/>
    <w:rsid w:val="000F265B"/>
    <w:rsid w:val="001816A4"/>
    <w:rsid w:val="0018578E"/>
    <w:rsid w:val="001D410F"/>
    <w:rsid w:val="001E70CD"/>
    <w:rsid w:val="001E7703"/>
    <w:rsid w:val="002C410B"/>
    <w:rsid w:val="0031390C"/>
    <w:rsid w:val="00383CED"/>
    <w:rsid w:val="0039232A"/>
    <w:rsid w:val="004A47FA"/>
    <w:rsid w:val="004F3A2A"/>
    <w:rsid w:val="00521C58"/>
    <w:rsid w:val="00663C57"/>
    <w:rsid w:val="00674367"/>
    <w:rsid w:val="00762625"/>
    <w:rsid w:val="0076762F"/>
    <w:rsid w:val="00787E24"/>
    <w:rsid w:val="0079410B"/>
    <w:rsid w:val="008D039B"/>
    <w:rsid w:val="00914A06"/>
    <w:rsid w:val="009423E4"/>
    <w:rsid w:val="00A81D9F"/>
    <w:rsid w:val="00B10494"/>
    <w:rsid w:val="00D24CC6"/>
    <w:rsid w:val="00D7668E"/>
    <w:rsid w:val="00E76339"/>
    <w:rsid w:val="00EA57F2"/>
    <w:rsid w:val="00EE0365"/>
    <w:rsid w:val="00F54B36"/>
    <w:rsid w:val="00FC2D0F"/>
    <w:rsid w:val="00FF4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3544"/>
  <w15:chartTrackingRefBased/>
  <w15:docId w15:val="{0487E509-409B-469F-99C2-D21E386B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521C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21C58"/>
    <w:rPr>
      <w:rFonts w:ascii="Times New Roman" w:eastAsia="Times New Roman" w:hAnsi="Times New Roman" w:cs="Times New Roman"/>
      <w:b/>
      <w:bCs/>
      <w:sz w:val="27"/>
      <w:szCs w:val="27"/>
      <w:lang w:eastAsia="ru-RU"/>
    </w:rPr>
  </w:style>
  <w:style w:type="paragraph" w:customStyle="1" w:styleId="thepagetitle">
    <w:name w:val="thepagetitle"/>
    <w:basedOn w:val="a"/>
    <w:rsid w:val="00521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521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aliases w:val="1.1.1_List Paragraph,Body,Bullets,List Bullet Mary,List Paragraph (numbered (a)),List Paragraph Char Char Char,List Paragraph nowy,List Paragraph1,Liste 1,Medium Grid 1 - Accent 21,Numbered List Paragraph,References,ReferencesCxSpLast,lp1"/>
    <w:basedOn w:val="a"/>
    <w:link w:val="a4"/>
    <w:uiPriority w:val="34"/>
    <w:qFormat/>
    <w:rsid w:val="00521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21C58"/>
    <w:rPr>
      <w:color w:val="0000FF"/>
      <w:u w:val="single"/>
    </w:rPr>
  </w:style>
  <w:style w:type="paragraph" w:styleId="a6">
    <w:name w:val="Normal (Web)"/>
    <w:basedOn w:val="a"/>
    <w:uiPriority w:val="99"/>
    <w:unhideWhenUsed/>
    <w:rsid w:val="00D766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74D1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4D14"/>
    <w:rPr>
      <w:rFonts w:ascii="Segoe UI" w:hAnsi="Segoe UI" w:cs="Segoe UI"/>
      <w:sz w:val="18"/>
      <w:szCs w:val="18"/>
    </w:rPr>
  </w:style>
  <w:style w:type="character" w:styleId="a9">
    <w:name w:val="Strong"/>
    <w:basedOn w:val="a0"/>
    <w:uiPriority w:val="22"/>
    <w:qFormat/>
    <w:rsid w:val="00D24CC6"/>
    <w:rPr>
      <w:b/>
      <w:bCs/>
    </w:rPr>
  </w:style>
  <w:style w:type="table" w:styleId="aa">
    <w:name w:val="Table Grid"/>
    <w:basedOn w:val="a1"/>
    <w:uiPriority w:val="59"/>
    <w:rsid w:val="00D24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1.1.1_List Paragraph Знак,Body Знак,Bullets Знак,List Bullet Mary Знак,List Paragraph (numbered (a)) Знак,List Paragraph Char Char Char Знак,List Paragraph nowy Знак,List Paragraph1 Знак,Liste 1 Знак,Medium Grid 1 - Accent 21 Знак"/>
    <w:basedOn w:val="a0"/>
    <w:link w:val="a3"/>
    <w:uiPriority w:val="34"/>
    <w:qFormat/>
    <w:rsid w:val="0018578E"/>
    <w:rPr>
      <w:rFonts w:ascii="Times New Roman" w:eastAsia="Times New Roman" w:hAnsi="Times New Roman" w:cs="Times New Roman"/>
      <w:sz w:val="24"/>
      <w:szCs w:val="24"/>
      <w:lang w:eastAsia="ru-RU"/>
    </w:rPr>
  </w:style>
  <w:style w:type="paragraph" w:styleId="ab">
    <w:name w:val="Body Text"/>
    <w:basedOn w:val="a"/>
    <w:link w:val="ac"/>
    <w:uiPriority w:val="1"/>
    <w:semiHidden/>
    <w:unhideWhenUsed/>
    <w:qFormat/>
    <w:rsid w:val="0018578E"/>
    <w:pPr>
      <w:widowControl w:val="0"/>
      <w:autoSpaceDE w:val="0"/>
      <w:autoSpaceDN w:val="0"/>
      <w:spacing w:after="0" w:line="240" w:lineRule="auto"/>
      <w:ind w:left="126" w:firstLine="688"/>
      <w:jc w:val="both"/>
    </w:pPr>
    <w:rPr>
      <w:rFonts w:ascii="Times New Roman" w:eastAsia="Times New Roman" w:hAnsi="Times New Roman" w:cs="Times New Roman"/>
      <w:sz w:val="27"/>
      <w:szCs w:val="27"/>
    </w:rPr>
  </w:style>
  <w:style w:type="character" w:customStyle="1" w:styleId="ac">
    <w:name w:val="Основной текст Знак"/>
    <w:basedOn w:val="a0"/>
    <w:link w:val="ab"/>
    <w:uiPriority w:val="1"/>
    <w:semiHidden/>
    <w:rsid w:val="0018578E"/>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319">
      <w:bodyDiv w:val="1"/>
      <w:marLeft w:val="0"/>
      <w:marRight w:val="0"/>
      <w:marTop w:val="0"/>
      <w:marBottom w:val="0"/>
      <w:divBdr>
        <w:top w:val="none" w:sz="0" w:space="0" w:color="auto"/>
        <w:left w:val="none" w:sz="0" w:space="0" w:color="auto"/>
        <w:bottom w:val="none" w:sz="0" w:space="0" w:color="auto"/>
        <w:right w:val="none" w:sz="0" w:space="0" w:color="auto"/>
      </w:divBdr>
      <w:divsChild>
        <w:div w:id="838622213">
          <w:marLeft w:val="0"/>
          <w:marRight w:val="0"/>
          <w:marTop w:val="0"/>
          <w:marBottom w:val="0"/>
          <w:divBdr>
            <w:top w:val="none" w:sz="0" w:space="0" w:color="auto"/>
            <w:left w:val="none" w:sz="0" w:space="0" w:color="auto"/>
            <w:bottom w:val="none" w:sz="0" w:space="0" w:color="auto"/>
            <w:right w:val="none" w:sz="0" w:space="0" w:color="auto"/>
          </w:divBdr>
          <w:divsChild>
            <w:div w:id="285550362">
              <w:marLeft w:val="-225"/>
              <w:marRight w:val="-225"/>
              <w:marTop w:val="450"/>
              <w:marBottom w:val="0"/>
              <w:divBdr>
                <w:top w:val="none" w:sz="0" w:space="0" w:color="auto"/>
                <w:left w:val="none" w:sz="0" w:space="0" w:color="auto"/>
                <w:bottom w:val="none" w:sz="0" w:space="0" w:color="auto"/>
                <w:right w:val="none" w:sz="0" w:space="0" w:color="auto"/>
              </w:divBdr>
              <w:divsChild>
                <w:div w:id="13444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7119">
          <w:marLeft w:val="0"/>
          <w:marRight w:val="0"/>
          <w:marTop w:val="0"/>
          <w:marBottom w:val="0"/>
          <w:divBdr>
            <w:top w:val="none" w:sz="0" w:space="0" w:color="auto"/>
            <w:left w:val="none" w:sz="0" w:space="0" w:color="auto"/>
            <w:bottom w:val="none" w:sz="0" w:space="0" w:color="auto"/>
            <w:right w:val="none" w:sz="0" w:space="0" w:color="auto"/>
          </w:divBdr>
          <w:divsChild>
            <w:div w:id="11765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Sultangazieva Saltanat</dc:creator>
  <cp:keywords/>
  <dc:description/>
  <cp:lastModifiedBy>Ainura Kenjekaraeva</cp:lastModifiedBy>
  <cp:revision>2</cp:revision>
  <dcterms:created xsi:type="dcterms:W3CDTF">2026-03-27T13:40:00Z</dcterms:created>
  <dcterms:modified xsi:type="dcterms:W3CDTF">2026-03-27T13:40:00Z</dcterms:modified>
</cp:coreProperties>
</file>