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6108" w14:textId="77777777" w:rsidR="00DF673A" w:rsidRDefault="00DF673A" w:rsidP="00DF673A">
      <w:pPr>
        <w:autoSpaceDE w:val="0"/>
        <w:autoSpaceDN w:val="0"/>
        <w:adjustRightInd w:val="0"/>
        <w:jc w:val="center"/>
        <w:rPr>
          <w:rFonts w:ascii="Times New Roman" w:hAnsi="Times New Roman"/>
          <w:b/>
          <w:bCs/>
          <w:sz w:val="20"/>
          <w:u w:val="single"/>
        </w:rPr>
      </w:pPr>
      <w:r>
        <w:rPr>
          <w:rFonts w:ascii="Times New Roman" w:hAnsi="Times New Roman"/>
          <w:b/>
          <w:bCs/>
          <w:sz w:val="20"/>
          <w:u w:val="single"/>
        </w:rPr>
        <w:t>TERMS OF REFERENCE</w:t>
      </w:r>
    </w:p>
    <w:p w14:paraId="1E1954C3" w14:textId="77777777" w:rsidR="00DF673A" w:rsidRDefault="00DF673A" w:rsidP="00DF673A">
      <w:pPr>
        <w:autoSpaceDE w:val="0"/>
        <w:autoSpaceDN w:val="0"/>
        <w:adjustRightInd w:val="0"/>
        <w:jc w:val="left"/>
        <w:rPr>
          <w:rFonts w:ascii="Times New Roman" w:hAnsi="Times New Roman"/>
          <w:b/>
          <w:bCs/>
          <w:sz w:val="20"/>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918"/>
        <w:gridCol w:w="1435"/>
        <w:gridCol w:w="3840"/>
      </w:tblGrid>
      <w:tr w:rsidR="00DF673A" w14:paraId="4F87F223" w14:textId="77777777" w:rsidTr="00574798">
        <w:tc>
          <w:tcPr>
            <w:tcW w:w="1288" w:type="dxa"/>
            <w:shd w:val="clear" w:color="auto" w:fill="auto"/>
          </w:tcPr>
          <w:p w14:paraId="4CD5830C" w14:textId="77777777" w:rsidR="00DF673A" w:rsidRDefault="00DF673A" w:rsidP="00574798">
            <w:pPr>
              <w:autoSpaceDE w:val="0"/>
              <w:autoSpaceDN w:val="0"/>
              <w:adjustRightInd w:val="0"/>
              <w:jc w:val="left"/>
              <w:rPr>
                <w:rFonts w:ascii="Times New Roman" w:hAnsi="Times New Roman"/>
                <w:sz w:val="20"/>
              </w:rPr>
            </w:pPr>
            <w:r>
              <w:rPr>
                <w:rFonts w:ascii="Times New Roman" w:hAnsi="Times New Roman"/>
                <w:b/>
                <w:bCs/>
                <w:sz w:val="20"/>
              </w:rPr>
              <w:t xml:space="preserve">Contract </w:t>
            </w:r>
          </w:p>
        </w:tc>
        <w:tc>
          <w:tcPr>
            <w:tcW w:w="8193" w:type="dxa"/>
            <w:gridSpan w:val="3"/>
            <w:shd w:val="clear" w:color="auto" w:fill="auto"/>
          </w:tcPr>
          <w:p w14:paraId="361144C4" w14:textId="77777777" w:rsidR="00DF673A" w:rsidRDefault="00DF673A" w:rsidP="00574798">
            <w:pPr>
              <w:autoSpaceDE w:val="0"/>
              <w:autoSpaceDN w:val="0"/>
              <w:adjustRightInd w:val="0"/>
              <w:jc w:val="left"/>
              <w:rPr>
                <w:rFonts w:ascii="Times New Roman" w:hAnsi="Times New Roman"/>
                <w:bCs/>
                <w:sz w:val="20"/>
              </w:rPr>
            </w:pPr>
            <w:r>
              <w:rPr>
                <w:rFonts w:ascii="Times New Roman" w:hAnsi="Times New Roman"/>
                <w:bCs/>
                <w:sz w:val="20"/>
              </w:rPr>
              <w:t># ICS3.</w:t>
            </w:r>
            <w:r>
              <w:rPr>
                <w:rFonts w:ascii="Times New Roman" w:hAnsi="Times New Roman"/>
                <w:bCs/>
                <w:sz w:val="20"/>
                <w:lang w:val="ru-RU"/>
              </w:rPr>
              <w:t>6</w:t>
            </w:r>
            <w:r>
              <w:rPr>
                <w:rFonts w:ascii="Times New Roman" w:hAnsi="Times New Roman"/>
                <w:bCs/>
                <w:sz w:val="20"/>
              </w:rPr>
              <w:t>.</w:t>
            </w:r>
            <w:r>
              <w:rPr>
                <w:rFonts w:ascii="Times New Roman" w:hAnsi="Times New Roman"/>
                <w:bCs/>
                <w:sz w:val="20"/>
                <w:lang w:val="ru-RU"/>
              </w:rPr>
              <w:t>4</w:t>
            </w:r>
            <w:r>
              <w:rPr>
                <w:rFonts w:ascii="Times New Roman" w:hAnsi="Times New Roman"/>
                <w:bCs/>
                <w:sz w:val="20"/>
              </w:rPr>
              <w:t xml:space="preserve"> - 2025</w:t>
            </w:r>
          </w:p>
        </w:tc>
      </w:tr>
      <w:tr w:rsidR="00DF673A" w14:paraId="595BC29A" w14:textId="77777777" w:rsidTr="00574798">
        <w:tc>
          <w:tcPr>
            <w:tcW w:w="1288" w:type="dxa"/>
            <w:shd w:val="clear" w:color="auto" w:fill="auto"/>
          </w:tcPr>
          <w:p w14:paraId="2D6107E0" w14:textId="77777777" w:rsidR="00DF673A" w:rsidRDefault="00DF673A" w:rsidP="00574798">
            <w:pPr>
              <w:autoSpaceDE w:val="0"/>
              <w:autoSpaceDN w:val="0"/>
              <w:adjustRightInd w:val="0"/>
              <w:jc w:val="left"/>
              <w:rPr>
                <w:rFonts w:ascii="Times New Roman" w:hAnsi="Times New Roman"/>
                <w:b/>
                <w:bCs/>
                <w:sz w:val="20"/>
              </w:rPr>
            </w:pPr>
            <w:r>
              <w:rPr>
                <w:rFonts w:ascii="Times New Roman" w:hAnsi="Times New Roman"/>
                <w:b/>
                <w:bCs/>
                <w:sz w:val="20"/>
              </w:rPr>
              <w:t>Project</w:t>
            </w:r>
          </w:p>
        </w:tc>
        <w:tc>
          <w:tcPr>
            <w:tcW w:w="8193" w:type="dxa"/>
            <w:gridSpan w:val="3"/>
            <w:shd w:val="clear" w:color="auto" w:fill="auto"/>
          </w:tcPr>
          <w:p w14:paraId="7E77EA12" w14:textId="77777777" w:rsidR="00DF673A" w:rsidRDefault="00DF673A" w:rsidP="00574798">
            <w:pPr>
              <w:autoSpaceDE w:val="0"/>
              <w:autoSpaceDN w:val="0"/>
              <w:adjustRightInd w:val="0"/>
              <w:jc w:val="left"/>
              <w:rPr>
                <w:rFonts w:ascii="Times New Roman" w:hAnsi="Times New Roman"/>
                <w:sz w:val="20"/>
              </w:rPr>
            </w:pPr>
            <w:r>
              <w:rPr>
                <w:rFonts w:ascii="Times New Roman" w:hAnsi="Times New Roman"/>
                <w:sz w:val="20"/>
              </w:rPr>
              <w:t>ADB L4454-KGZ(COL)/G0949-KGZ(SF): Issyk-Kul Environmental Management and Sustainable Tourism Development Project</w:t>
            </w:r>
          </w:p>
        </w:tc>
      </w:tr>
      <w:tr w:rsidR="00DF673A" w14:paraId="7CEC28D2" w14:textId="77777777" w:rsidTr="00574798">
        <w:tc>
          <w:tcPr>
            <w:tcW w:w="1288" w:type="dxa"/>
            <w:shd w:val="clear" w:color="auto" w:fill="auto"/>
          </w:tcPr>
          <w:p w14:paraId="304576C5" w14:textId="77777777" w:rsidR="00DF673A" w:rsidRDefault="00DF673A" w:rsidP="00574798">
            <w:pPr>
              <w:autoSpaceDE w:val="0"/>
              <w:autoSpaceDN w:val="0"/>
              <w:adjustRightInd w:val="0"/>
              <w:jc w:val="left"/>
              <w:rPr>
                <w:rFonts w:ascii="Times New Roman" w:hAnsi="Times New Roman"/>
                <w:b/>
                <w:bCs/>
                <w:sz w:val="20"/>
              </w:rPr>
            </w:pPr>
            <w:r>
              <w:rPr>
                <w:rFonts w:ascii="Times New Roman" w:hAnsi="Times New Roman"/>
                <w:b/>
                <w:bCs/>
                <w:sz w:val="20"/>
              </w:rPr>
              <w:t>Expertise</w:t>
            </w:r>
          </w:p>
        </w:tc>
        <w:tc>
          <w:tcPr>
            <w:tcW w:w="8193" w:type="dxa"/>
            <w:gridSpan w:val="3"/>
            <w:shd w:val="clear" w:color="auto" w:fill="auto"/>
          </w:tcPr>
          <w:p w14:paraId="73EA41D3" w14:textId="77777777" w:rsidR="00DF673A" w:rsidRDefault="00DF673A" w:rsidP="00574798">
            <w:pPr>
              <w:autoSpaceDE w:val="0"/>
              <w:autoSpaceDN w:val="0"/>
              <w:adjustRightInd w:val="0"/>
              <w:jc w:val="left"/>
              <w:rPr>
                <w:rFonts w:ascii="Times New Roman" w:hAnsi="Times New Roman"/>
                <w:sz w:val="20"/>
              </w:rPr>
            </w:pPr>
            <w:r>
              <w:rPr>
                <w:rFonts w:ascii="Times New Roman" w:hAnsi="Times New Roman"/>
                <w:sz w:val="20"/>
                <w:lang w:eastAsia="en-GB"/>
              </w:rPr>
              <w:t>RPMO Resident Engineer</w:t>
            </w:r>
          </w:p>
        </w:tc>
      </w:tr>
      <w:tr w:rsidR="00DF673A" w14:paraId="7E54F815" w14:textId="77777777" w:rsidTr="00574798">
        <w:tc>
          <w:tcPr>
            <w:tcW w:w="1288" w:type="dxa"/>
            <w:shd w:val="clear" w:color="auto" w:fill="auto"/>
          </w:tcPr>
          <w:p w14:paraId="0AE6F328" w14:textId="77777777" w:rsidR="00DF673A" w:rsidRDefault="00DF673A" w:rsidP="00574798">
            <w:pPr>
              <w:autoSpaceDE w:val="0"/>
              <w:autoSpaceDN w:val="0"/>
              <w:adjustRightInd w:val="0"/>
              <w:jc w:val="left"/>
              <w:rPr>
                <w:rFonts w:ascii="Times New Roman" w:hAnsi="Times New Roman"/>
                <w:b/>
                <w:bCs/>
                <w:sz w:val="20"/>
              </w:rPr>
            </w:pPr>
            <w:r>
              <w:rPr>
                <w:rFonts w:ascii="Times New Roman" w:hAnsi="Times New Roman"/>
                <w:b/>
                <w:bCs/>
                <w:sz w:val="20"/>
              </w:rPr>
              <w:t>Source</w:t>
            </w:r>
          </w:p>
        </w:tc>
        <w:tc>
          <w:tcPr>
            <w:tcW w:w="2918" w:type="dxa"/>
            <w:shd w:val="clear" w:color="auto" w:fill="auto"/>
          </w:tcPr>
          <w:p w14:paraId="590B0A8A" w14:textId="77777777" w:rsidR="00DF673A" w:rsidRDefault="00DF673A" w:rsidP="00574798">
            <w:pPr>
              <w:autoSpaceDE w:val="0"/>
              <w:autoSpaceDN w:val="0"/>
              <w:adjustRightInd w:val="0"/>
              <w:jc w:val="left"/>
              <w:rPr>
                <w:rFonts w:ascii="Times New Roman" w:hAnsi="Times New Roman"/>
                <w:b/>
                <w:bCs/>
                <w:sz w:val="20"/>
              </w:rPr>
            </w:pPr>
            <w:r>
              <w:rPr>
                <w:rFonts w:ascii="Times New Roman" w:hAnsi="Times New Roman"/>
                <w:i/>
                <w:sz w:val="20"/>
              </w:rPr>
              <w:t>National</w:t>
            </w:r>
          </w:p>
        </w:tc>
        <w:tc>
          <w:tcPr>
            <w:tcW w:w="1435" w:type="dxa"/>
            <w:shd w:val="clear" w:color="auto" w:fill="auto"/>
          </w:tcPr>
          <w:p w14:paraId="17A03524" w14:textId="77777777" w:rsidR="00DF673A" w:rsidRDefault="00DF673A" w:rsidP="00574798">
            <w:pPr>
              <w:autoSpaceDE w:val="0"/>
              <w:autoSpaceDN w:val="0"/>
              <w:adjustRightInd w:val="0"/>
              <w:jc w:val="left"/>
              <w:rPr>
                <w:rFonts w:ascii="Times New Roman" w:hAnsi="Times New Roman"/>
                <w:b/>
                <w:bCs/>
                <w:sz w:val="20"/>
              </w:rPr>
            </w:pPr>
            <w:r>
              <w:rPr>
                <w:rFonts w:ascii="Times New Roman" w:hAnsi="Times New Roman"/>
                <w:b/>
                <w:bCs/>
                <w:sz w:val="20"/>
              </w:rPr>
              <w:t>Category</w:t>
            </w:r>
          </w:p>
        </w:tc>
        <w:tc>
          <w:tcPr>
            <w:tcW w:w="3840" w:type="dxa"/>
            <w:shd w:val="clear" w:color="auto" w:fill="auto"/>
          </w:tcPr>
          <w:p w14:paraId="782353DB" w14:textId="77777777" w:rsidR="00DF673A" w:rsidRDefault="00DF673A" w:rsidP="00574798">
            <w:pPr>
              <w:autoSpaceDE w:val="0"/>
              <w:autoSpaceDN w:val="0"/>
              <w:adjustRightInd w:val="0"/>
              <w:jc w:val="left"/>
              <w:rPr>
                <w:rFonts w:ascii="Times New Roman" w:hAnsi="Times New Roman"/>
                <w:sz w:val="20"/>
              </w:rPr>
            </w:pPr>
            <w:r>
              <w:rPr>
                <w:rFonts w:ascii="Times New Roman" w:hAnsi="Times New Roman"/>
                <w:i/>
                <w:sz w:val="20"/>
              </w:rPr>
              <w:t>Independent</w:t>
            </w:r>
          </w:p>
        </w:tc>
      </w:tr>
      <w:tr w:rsidR="00DF673A" w14:paraId="21DA3EB2" w14:textId="77777777" w:rsidTr="00574798">
        <w:tc>
          <w:tcPr>
            <w:tcW w:w="9481" w:type="dxa"/>
            <w:gridSpan w:val="4"/>
            <w:tcBorders>
              <w:bottom w:val="nil"/>
            </w:tcBorders>
            <w:shd w:val="clear" w:color="auto" w:fill="auto"/>
          </w:tcPr>
          <w:p w14:paraId="1CBE43D4" w14:textId="5A4477EB" w:rsidR="00DF673A" w:rsidRDefault="00DF673A" w:rsidP="00DF673A">
            <w:pPr>
              <w:pStyle w:val="a3"/>
              <w:widowControl w:val="0"/>
              <w:numPr>
                <w:ilvl w:val="0"/>
                <w:numId w:val="1"/>
              </w:numPr>
              <w:ind w:left="0" w:firstLine="0"/>
              <w:rPr>
                <w:rFonts w:ascii="Times New Roman" w:hAnsi="Times New Roman"/>
                <w:sz w:val="20"/>
              </w:rPr>
            </w:pPr>
            <w:r>
              <w:rPr>
                <w:rFonts w:ascii="Times New Roman" w:hAnsi="Times New Roman"/>
                <w:sz w:val="20"/>
              </w:rPr>
              <w:t xml:space="preserve">The government of the Kyrgyz Republic has received loan and grant funding from the Asian Development Bank (ADB) for the Issyk-Kul Environmental Management and Sustainable Tourism Development (IEMSTD) Project. The IEMSTD project to be implemented by the Ministry </w:t>
            </w:r>
            <w:r>
              <w:rPr>
                <w:rFonts w:ascii="Times New Roman" w:hAnsi="Times New Roman"/>
                <w:sz w:val="20"/>
              </w:rPr>
              <w:t>of</w:t>
            </w:r>
            <w:r>
              <w:rPr>
                <w:rFonts w:ascii="Times New Roman" w:hAnsi="Times New Roman"/>
                <w:sz w:val="20"/>
              </w:rPr>
              <w:t xml:space="preserve"> Construction, Architecture, Housing and Communal Services (</w:t>
            </w:r>
            <w:proofErr w:type="spellStart"/>
            <w:r>
              <w:rPr>
                <w:rFonts w:ascii="Times New Roman" w:hAnsi="Times New Roman"/>
                <w:sz w:val="20"/>
              </w:rPr>
              <w:t>Minstroy</w:t>
            </w:r>
            <w:proofErr w:type="spellEnd"/>
            <w:r>
              <w:rPr>
                <w:rFonts w:ascii="Times New Roman" w:hAnsi="Times New Roman"/>
                <w:sz w:val="20"/>
              </w:rPr>
              <w:t>).  The IEMSTD project will: (</w:t>
            </w:r>
            <w:proofErr w:type="spellStart"/>
            <w:r>
              <w:rPr>
                <w:rFonts w:ascii="Times New Roman" w:hAnsi="Times New Roman"/>
                <w:sz w:val="20"/>
              </w:rPr>
              <w:t>i</w:t>
            </w:r>
            <w:proofErr w:type="spellEnd"/>
            <w:r>
              <w:rPr>
                <w:rFonts w:ascii="Times New Roman" w:hAnsi="Times New Roman"/>
                <w:sz w:val="20"/>
              </w:rPr>
              <w:t>) improve public and environmental health conditions of the Issyk-Kul Lake area by supporting sanitation and environmental services in Cholpon-Ata; (ii) enhance livability and tourism by developing green, climate-resilient, safe, and inclusive spaces, including universal access for people with disabilities and the elderly; and (iii) boost economic recovery through promotion of inclusive and sustainable tourism development.</w:t>
            </w:r>
          </w:p>
          <w:p w14:paraId="4A3CDBC8" w14:textId="77777777" w:rsidR="00DF673A" w:rsidRDefault="00DF673A" w:rsidP="00574798">
            <w:pPr>
              <w:pStyle w:val="a3"/>
              <w:widowControl w:val="0"/>
              <w:ind w:left="0"/>
              <w:rPr>
                <w:rFonts w:ascii="Times New Roman" w:hAnsi="Times New Roman"/>
                <w:sz w:val="20"/>
              </w:rPr>
            </w:pPr>
          </w:p>
          <w:p w14:paraId="1BC8513D" w14:textId="77777777" w:rsidR="00DF673A" w:rsidRDefault="00DF673A" w:rsidP="00DF673A">
            <w:pPr>
              <w:pStyle w:val="a3"/>
              <w:widowControl w:val="0"/>
              <w:numPr>
                <w:ilvl w:val="0"/>
                <w:numId w:val="1"/>
              </w:numPr>
              <w:ind w:left="0" w:firstLine="0"/>
              <w:rPr>
                <w:rFonts w:ascii="Times New Roman" w:hAnsi="Times New Roman"/>
                <w:sz w:val="20"/>
              </w:rPr>
            </w:pPr>
            <w:proofErr w:type="spellStart"/>
            <w:r>
              <w:rPr>
                <w:rFonts w:ascii="Times New Roman" w:hAnsi="Times New Roman"/>
                <w:sz w:val="20"/>
              </w:rPr>
              <w:t>Minstroy</w:t>
            </w:r>
            <w:proofErr w:type="spellEnd"/>
            <w:r>
              <w:rPr>
                <w:rFonts w:ascii="Times New Roman" w:hAnsi="Times New Roman"/>
                <w:sz w:val="20"/>
              </w:rPr>
              <w:t xml:space="preserve"> established a Project Management Office (PMO) to be responsible for coordination and management of the Issyk-Kul EMSTDP. Individual national consultants will be recruited to support and assist the PMO during start-up activities and project implementation. The national individual consultants will be recruited by the EA following individual selection procedures in accordance with ADB Procurement Policy (2017 as amended from time to time) </w:t>
            </w:r>
            <w:bookmarkStart w:id="0" w:name="_Hlk184796472"/>
            <w:r>
              <w:rPr>
                <w:rFonts w:ascii="Times New Roman" w:hAnsi="Times New Roman"/>
                <w:sz w:val="20"/>
              </w:rPr>
              <w:t>and Procurement Regulations for ADB Borrowers (2017, as amended from time to time)</w:t>
            </w:r>
            <w:bookmarkEnd w:id="0"/>
            <w:r>
              <w:rPr>
                <w:rFonts w:ascii="Times New Roman" w:hAnsi="Times New Roman"/>
                <w:sz w:val="20"/>
              </w:rPr>
              <w:t>.</w:t>
            </w:r>
          </w:p>
          <w:p w14:paraId="6EE152DF" w14:textId="77777777" w:rsidR="00DF673A" w:rsidRDefault="00DF673A" w:rsidP="00574798">
            <w:pPr>
              <w:widowControl w:val="0"/>
              <w:rPr>
                <w:rFonts w:ascii="Times New Roman" w:hAnsi="Times New Roman"/>
                <w:b/>
                <w:bCs/>
                <w:sz w:val="20"/>
              </w:rPr>
            </w:pPr>
          </w:p>
          <w:p w14:paraId="55351A50" w14:textId="77777777" w:rsidR="00DF673A" w:rsidRDefault="00DF673A" w:rsidP="00DF673A">
            <w:pPr>
              <w:pStyle w:val="a3"/>
              <w:widowControl w:val="0"/>
              <w:numPr>
                <w:ilvl w:val="0"/>
                <w:numId w:val="1"/>
              </w:numPr>
              <w:ind w:left="0" w:firstLine="0"/>
              <w:jc w:val="left"/>
              <w:rPr>
                <w:rFonts w:ascii="Times New Roman" w:hAnsi="Times New Roman"/>
                <w:sz w:val="20"/>
                <w:lang w:eastAsia="en-GB"/>
              </w:rPr>
            </w:pPr>
            <w:r>
              <w:rPr>
                <w:rFonts w:ascii="Times New Roman" w:hAnsi="Times New Roman"/>
                <w:sz w:val="20"/>
              </w:rPr>
              <w:t>Scope of Work and Detailed Tasks</w:t>
            </w:r>
            <w:r>
              <w:rPr>
                <w:rFonts w:ascii="Times New Roman" w:hAnsi="Times New Roman"/>
                <w:sz w:val="20"/>
                <w:lang w:eastAsia="en-GB"/>
              </w:rPr>
              <w:t xml:space="preserve"> </w:t>
            </w:r>
          </w:p>
          <w:p w14:paraId="713F5F14" w14:textId="77777777" w:rsidR="00DF673A" w:rsidRDefault="00DF673A" w:rsidP="00574798">
            <w:pPr>
              <w:pStyle w:val="a3"/>
              <w:widowControl w:val="0"/>
              <w:ind w:left="0"/>
              <w:jc w:val="left"/>
              <w:rPr>
                <w:rFonts w:ascii="Times New Roman" w:hAnsi="Times New Roman"/>
                <w:sz w:val="20"/>
                <w:lang w:eastAsia="en-GB"/>
              </w:rPr>
            </w:pPr>
          </w:p>
          <w:p w14:paraId="272F7150"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Regional PMO (RPMO) Resident Engineer (National)</w:t>
            </w:r>
            <w:r>
              <w:rPr>
                <w:rFonts w:ascii="Times New Roman" w:hAnsi="Times New Roman"/>
                <w:sz w:val="20"/>
                <w:lang w:eastAsia="ja-JP"/>
              </w:rPr>
              <w:t xml:space="preserve"> </w:t>
            </w:r>
            <w:r>
              <w:rPr>
                <w:rFonts w:ascii="Times New Roman" w:hAnsi="Times New Roman"/>
                <w:sz w:val="20"/>
              </w:rPr>
              <w:t xml:space="preserve">will support the Deputy PMO Director in supervision of construction and in ensuring that works carried out and equipment procured are in accordance with designs and specifications. He/she will report to the Deputy PMO Director. RPMO Resident Engineer will carry out tasks including but not be limited to the following: </w:t>
            </w:r>
          </w:p>
          <w:p w14:paraId="621AC508"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w:t>
            </w:r>
            <w:proofErr w:type="spellStart"/>
            <w:r>
              <w:rPr>
                <w:rFonts w:ascii="Times New Roman" w:hAnsi="Times New Roman"/>
                <w:sz w:val="20"/>
              </w:rPr>
              <w:t>i</w:t>
            </w:r>
            <w:proofErr w:type="spellEnd"/>
            <w:r>
              <w:rPr>
                <w:rFonts w:ascii="Times New Roman" w:hAnsi="Times New Roman"/>
                <w:sz w:val="20"/>
              </w:rPr>
              <w:t>) Act as the Resident Engineer on behalf of the Cholpon-Ata Mayor’s Office, RPMO for contracts signed with the Implementing Agency.</w:t>
            </w:r>
          </w:p>
          <w:p w14:paraId="38059BDF"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(ii) Provide technical inputs required for the preparation of bid evaluation reports.</w:t>
            </w:r>
          </w:p>
          <w:p w14:paraId="4A399D4B"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(iii) Coordinate with contractors, review and regularly update work programs for each civil works, goods and supply contract.</w:t>
            </w:r>
          </w:p>
          <w:p w14:paraId="1F541393"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(iv) Perform supervision and quality assurance activities for all civil works and installation of equipment under all contracts implemented by RPMO and PMO.</w:t>
            </w:r>
          </w:p>
          <w:p w14:paraId="777FB342"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(v) Ensure effective day-to-day supervision of project implementation and consolidate monthly progress reports prepared by contractors, suppliers and consultants.</w:t>
            </w:r>
          </w:p>
          <w:p w14:paraId="790CE867"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(vi) Review and approve current invoices and payment requests from contractors and supplier companies.</w:t>
            </w:r>
          </w:p>
          <w:p w14:paraId="7F3CBA50"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(vii) Prepare quarterly contract progress reports for RPMO and the implementing agency for onward submission to PMO.</w:t>
            </w:r>
          </w:p>
          <w:p w14:paraId="57C49BDA"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 xml:space="preserve">(viii) Assist the PMO, </w:t>
            </w:r>
            <w:proofErr w:type="spellStart"/>
            <w:r>
              <w:rPr>
                <w:rFonts w:ascii="Times New Roman" w:hAnsi="Times New Roman"/>
                <w:sz w:val="20"/>
              </w:rPr>
              <w:t>Vodokanal</w:t>
            </w:r>
            <w:proofErr w:type="spellEnd"/>
            <w:r>
              <w:rPr>
                <w:rFonts w:ascii="Times New Roman" w:hAnsi="Times New Roman"/>
                <w:sz w:val="20"/>
              </w:rPr>
              <w:t xml:space="preserve"> and the wastewater treatment plant contractor as required in ensuring the full operation of the existing plant during all stages of project construction and implementation.</w:t>
            </w:r>
          </w:p>
          <w:p w14:paraId="2C9BDFBA"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(ix) Cooperate with project stakeholders to identify, assess and resolve project implementation obstacles in terms of construction, equipment installation, quality of workmanship and other issues as they arise.</w:t>
            </w:r>
          </w:p>
          <w:p w14:paraId="72E29AC4"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 xml:space="preserve">(x) Facilitate a stakeholder and community consultation </w:t>
            </w:r>
            <w:proofErr w:type="spellStart"/>
            <w:r>
              <w:rPr>
                <w:rFonts w:ascii="Times New Roman" w:hAnsi="Times New Roman"/>
                <w:sz w:val="20"/>
              </w:rPr>
              <w:t>programme</w:t>
            </w:r>
            <w:proofErr w:type="spellEnd"/>
            <w:r>
              <w:rPr>
                <w:rFonts w:ascii="Times New Roman" w:hAnsi="Times New Roman"/>
                <w:sz w:val="20"/>
              </w:rPr>
              <w:t xml:space="preserve"> on project components.</w:t>
            </w:r>
          </w:p>
          <w:p w14:paraId="7A5833E1"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(xi) In close coordination with other PMO staff, monitor and exercise quality control over all project construction, equipment delivery, installation and commissioning on a daily basis.</w:t>
            </w:r>
          </w:p>
          <w:p w14:paraId="24CB477C"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(xii) In close coordination with other responsible PMO staff, assist in ensuring that the contractors fully implement the Environmental Management Plan (EMP), occupational health and safety plan, gender and social development plans and land acquisition and resettlement plans.</w:t>
            </w:r>
          </w:p>
          <w:p w14:paraId="2582268E"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(xiii) Administer contracts for Components 1 and 2 of the Project, including processing progress reports, reviewing requests for extensions of time, reviewing and preparing change orders or variations and notices of non-conformity, monitoring project progress and monitoring project costs.</w:t>
            </w:r>
          </w:p>
          <w:p w14:paraId="0D0DEC82"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(xiv) Ensure that all design and construction documents comply with national and international engineering standards for the design and construction of the wastewater treatment plant, pumping stations, sewer networks and tourism facilities, and ensure that all necessary government approvals are obtained from the PMO, RPMO or Project Management and Supervision Consultant (PMCSC), including technical specifications for the designed facilities.</w:t>
            </w:r>
          </w:p>
          <w:p w14:paraId="6A36DF50"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(xv) Review and approve payments due to consultants, contractors and suppliers of the PDP.</w:t>
            </w:r>
          </w:p>
          <w:p w14:paraId="5621E0B8"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(xvi) Work with the RPMO and PMO in obtaining licenses, construction permits, land access rights and other mandatory administrative measures as required under relevant regulations in force in Kyrgyzstan and in accordance with ADB procedures, and monitor compliance with safeguards.</w:t>
            </w:r>
          </w:p>
          <w:p w14:paraId="6CB6D8D2"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 xml:space="preserve">(xvii) In coordination with the RPMO, PMO and the PMC consultant, review annual implementation and update </w:t>
            </w:r>
            <w:r>
              <w:rPr>
                <w:rFonts w:ascii="Times New Roman" w:hAnsi="Times New Roman"/>
                <w:sz w:val="20"/>
              </w:rPr>
              <w:lastRenderedPageBreak/>
              <w:t>implementation schedules and forecasts.</w:t>
            </w:r>
          </w:p>
          <w:p w14:paraId="3DA8D24C"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(xviii) In close collaboration with the environmental specialists, oversee compliance with the social and environmental conditions of the loan/grant agreements and the implementation of the environmental management plan and social development plan.</w:t>
            </w:r>
          </w:p>
          <w:p w14:paraId="10987791"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(xix) Coordinate and facilitate public and community relations in coordination with the RPMO and the executing agency.</w:t>
            </w:r>
          </w:p>
          <w:p w14:paraId="442FB3DE"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 Review and provide input to proposed training programs prepared by the PMO.</w:t>
            </w:r>
          </w:p>
          <w:p w14:paraId="75141C58"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(xxi) Oversee all sub-project commissioning procedures, review program completion reports and assist in issuing project completion certificates and approve final project acceptance; make recommendations on issuance of performance bonds and retention of performance bonds as required.</w:t>
            </w:r>
          </w:p>
          <w:p w14:paraId="1F904DDD"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(xxii) Coordinate with organizations responsible for the execution of completed works to confirm that performance requirements are included in the designs and that training opportunities for operating personnel are included in the design and construction processes.</w:t>
            </w:r>
          </w:p>
          <w:p w14:paraId="7E07CE5B"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(xxiii) Confirm that contractors maintain as-built documentation during construction and that the as-built plans reflect changes in the design, dimensions/specifications and actual work performed on site and request records from contractors and assist in updating records in the RPMO and IA.</w:t>
            </w:r>
          </w:p>
          <w:p w14:paraId="0C84664F"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(xxiv) Oversee the collection and approval of monthly reports and invoices from contractors and consultants collected by the construction managers and forward them to the Deputy Director, PMO.</w:t>
            </w:r>
          </w:p>
          <w:p w14:paraId="4E5591E1"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(xxv) In close cooperation with the PMO and the RPMO, review and approve training schedules and documents proposed by contractors and suppliers and actively participate in the implementation of such training programs.</w:t>
            </w:r>
          </w:p>
          <w:p w14:paraId="43CA52E2"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(xxvi) Review and approve, in cooperation with the PMO, RPMO and PMCSC, the operation and maintenance (O&amp;M) manuals prepared by contractors and suppliers.</w:t>
            </w:r>
          </w:p>
          <w:p w14:paraId="43DA8264"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(xxvii) Collect and approve daily and monthly progress reports prepared by contractors and provide input to the OP and PMO for the preparation of quarterly, annual and final reports.</w:t>
            </w:r>
          </w:p>
          <w:p w14:paraId="30C90B73" w14:textId="77777777" w:rsidR="00DF673A" w:rsidRDefault="00DF673A" w:rsidP="00574798">
            <w:pPr>
              <w:pStyle w:val="a3"/>
              <w:widowControl w:val="0"/>
              <w:ind w:left="0"/>
              <w:jc w:val="left"/>
              <w:rPr>
                <w:rFonts w:ascii="Times New Roman" w:hAnsi="Times New Roman"/>
                <w:sz w:val="20"/>
              </w:rPr>
            </w:pPr>
          </w:p>
          <w:p w14:paraId="2BC8FB71"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Qualification requirements</w:t>
            </w:r>
          </w:p>
          <w:p w14:paraId="5862EE86" w14:textId="77777777" w:rsidR="00DF673A" w:rsidRDefault="00DF673A" w:rsidP="00574798">
            <w:pPr>
              <w:pStyle w:val="a3"/>
              <w:widowControl w:val="0"/>
              <w:ind w:left="0"/>
              <w:jc w:val="left"/>
              <w:rPr>
                <w:rFonts w:ascii="Times New Roman" w:hAnsi="Times New Roman"/>
                <w:sz w:val="20"/>
              </w:rPr>
            </w:pPr>
          </w:p>
          <w:p w14:paraId="666567AA" w14:textId="77777777" w:rsidR="00DF673A" w:rsidRDefault="00DF673A" w:rsidP="00574798">
            <w:pPr>
              <w:pStyle w:val="a3"/>
              <w:widowControl w:val="0"/>
              <w:ind w:left="0"/>
              <w:jc w:val="left"/>
              <w:rPr>
                <w:rFonts w:ascii="Times New Roman" w:hAnsi="Times New Roman"/>
                <w:sz w:val="20"/>
                <w:lang w:eastAsia="ru-RU"/>
              </w:rPr>
            </w:pPr>
            <w:r>
              <w:rPr>
                <w:rFonts w:ascii="Times New Roman" w:hAnsi="Times New Roman"/>
                <w:sz w:val="20"/>
                <w:lang w:eastAsia="ru-RU"/>
              </w:rPr>
              <w:t>(</w:t>
            </w:r>
            <w:proofErr w:type="spellStart"/>
            <w:r>
              <w:rPr>
                <w:rFonts w:ascii="Times New Roman" w:hAnsi="Times New Roman"/>
                <w:sz w:val="20"/>
                <w:lang w:eastAsia="ru-RU"/>
              </w:rPr>
              <w:t>i</w:t>
            </w:r>
            <w:proofErr w:type="spellEnd"/>
            <w:r>
              <w:rPr>
                <w:rFonts w:ascii="Times New Roman" w:hAnsi="Times New Roman"/>
                <w:sz w:val="20"/>
                <w:lang w:eastAsia="ru-RU"/>
              </w:rPr>
              <w:t>) Degree in Civil Engineering or Water Supply and Sanitation;</w:t>
            </w:r>
          </w:p>
          <w:p w14:paraId="5B46CE8E" w14:textId="77777777" w:rsidR="00DF673A" w:rsidRDefault="00DF673A" w:rsidP="00574798">
            <w:pPr>
              <w:pStyle w:val="a3"/>
              <w:widowControl w:val="0"/>
              <w:ind w:left="0"/>
              <w:jc w:val="left"/>
              <w:rPr>
                <w:rFonts w:ascii="Times New Roman" w:hAnsi="Times New Roman"/>
                <w:sz w:val="20"/>
                <w:lang w:eastAsia="ru-RU"/>
              </w:rPr>
            </w:pPr>
            <w:r>
              <w:rPr>
                <w:rFonts w:ascii="Times New Roman" w:hAnsi="Times New Roman"/>
                <w:sz w:val="20"/>
                <w:lang w:eastAsia="ru-RU"/>
              </w:rPr>
              <w:t>(ii) At least 5 years of proven experience in construction management, site supervision and quality control of infrastructure, vertical structures and/or wastewater management projects;</w:t>
            </w:r>
          </w:p>
          <w:p w14:paraId="466F09B5" w14:textId="77777777" w:rsidR="00DF673A" w:rsidRDefault="00DF673A" w:rsidP="00574798">
            <w:pPr>
              <w:pStyle w:val="a3"/>
              <w:widowControl w:val="0"/>
              <w:ind w:left="0"/>
              <w:jc w:val="left"/>
              <w:rPr>
                <w:rFonts w:ascii="Times New Roman" w:hAnsi="Times New Roman"/>
                <w:sz w:val="20"/>
                <w:lang w:eastAsia="ru-RU"/>
              </w:rPr>
            </w:pPr>
            <w:r>
              <w:rPr>
                <w:rFonts w:ascii="Times New Roman" w:hAnsi="Times New Roman"/>
                <w:sz w:val="20"/>
                <w:lang w:eastAsia="ru-RU"/>
              </w:rPr>
              <w:t>(iii) Good knowledge of Kyrgyz and Russian languages;</w:t>
            </w:r>
          </w:p>
          <w:p w14:paraId="2CD442B7" w14:textId="77777777" w:rsidR="00DF673A" w:rsidRDefault="00DF673A" w:rsidP="00574798">
            <w:pPr>
              <w:pStyle w:val="a3"/>
              <w:widowControl w:val="0"/>
              <w:ind w:left="0"/>
              <w:jc w:val="left"/>
              <w:rPr>
                <w:rFonts w:ascii="Times New Roman" w:hAnsi="Times New Roman"/>
                <w:sz w:val="20"/>
                <w:lang w:eastAsia="ru-RU"/>
              </w:rPr>
            </w:pPr>
            <w:r>
              <w:rPr>
                <w:rFonts w:ascii="Times New Roman" w:hAnsi="Times New Roman"/>
                <w:sz w:val="20"/>
                <w:lang w:eastAsia="ru-RU"/>
              </w:rPr>
              <w:t>(iv) Computer literacy (Windows, MS Office and Internet, email platforms);</w:t>
            </w:r>
          </w:p>
          <w:p w14:paraId="661037C7" w14:textId="77777777" w:rsidR="00DF673A" w:rsidRDefault="00DF673A" w:rsidP="00574798">
            <w:pPr>
              <w:pStyle w:val="a3"/>
              <w:widowControl w:val="0"/>
              <w:ind w:left="0"/>
              <w:jc w:val="left"/>
              <w:rPr>
                <w:rFonts w:ascii="Times New Roman" w:hAnsi="Times New Roman"/>
                <w:sz w:val="20"/>
                <w:lang w:eastAsia="ru-RU"/>
              </w:rPr>
            </w:pPr>
            <w:r>
              <w:rPr>
                <w:rFonts w:ascii="Times New Roman" w:hAnsi="Times New Roman"/>
                <w:sz w:val="20"/>
                <w:lang w:eastAsia="ru-RU"/>
              </w:rPr>
              <w:t>(v) Ability to solve multiple problems in a short period of time with limited time and resources; good communication skills, responsibility, stress resistance and initiative.</w:t>
            </w:r>
          </w:p>
          <w:p w14:paraId="1738AA35" w14:textId="77777777" w:rsidR="00DF673A" w:rsidRDefault="00DF673A" w:rsidP="00574798">
            <w:pPr>
              <w:pStyle w:val="a3"/>
              <w:widowControl w:val="0"/>
              <w:ind w:left="0"/>
              <w:jc w:val="left"/>
              <w:rPr>
                <w:rFonts w:ascii="Times New Roman" w:hAnsi="Times New Roman"/>
                <w:sz w:val="20"/>
                <w:lang w:eastAsia="ru-RU"/>
              </w:rPr>
            </w:pPr>
          </w:p>
          <w:p w14:paraId="73E66FB8"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Input</w:t>
            </w:r>
          </w:p>
          <w:p w14:paraId="6A58D616" w14:textId="77777777" w:rsidR="00DF673A" w:rsidRDefault="00DF673A" w:rsidP="00574798">
            <w:pPr>
              <w:pStyle w:val="a3"/>
              <w:widowControl w:val="0"/>
              <w:ind w:left="0"/>
              <w:jc w:val="left"/>
              <w:rPr>
                <w:rFonts w:ascii="Times New Roman" w:hAnsi="Times New Roman"/>
                <w:sz w:val="20"/>
              </w:rPr>
            </w:pPr>
          </w:p>
          <w:p w14:paraId="6D19E7BA"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Contract term is 12 months with possible extension. Possibility of contract extension will be based on the project’s requirement and consultant’s performance.</w:t>
            </w:r>
          </w:p>
          <w:p w14:paraId="15DBAD54"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 xml:space="preserve">Place of work </w:t>
            </w:r>
          </w:p>
          <w:p w14:paraId="27953294" w14:textId="77777777" w:rsidR="00DF673A" w:rsidRDefault="00DF673A" w:rsidP="00574798">
            <w:pPr>
              <w:pStyle w:val="a3"/>
              <w:widowControl w:val="0"/>
              <w:ind w:left="0"/>
              <w:jc w:val="left"/>
              <w:rPr>
                <w:rFonts w:ascii="Times New Roman" w:hAnsi="Times New Roman"/>
                <w:sz w:val="20"/>
              </w:rPr>
            </w:pPr>
          </w:p>
          <w:p w14:paraId="21C2210C"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Place of work of the RPMO Resident Engineer - Cholpon-Ata city.</w:t>
            </w:r>
          </w:p>
          <w:p w14:paraId="2F7A9590" w14:textId="77777777" w:rsidR="00DF673A" w:rsidRDefault="00DF673A" w:rsidP="00574798">
            <w:pPr>
              <w:pStyle w:val="a3"/>
              <w:widowControl w:val="0"/>
              <w:ind w:left="0"/>
              <w:jc w:val="left"/>
              <w:rPr>
                <w:rFonts w:ascii="Times New Roman" w:hAnsi="Times New Roman"/>
                <w:sz w:val="20"/>
              </w:rPr>
            </w:pPr>
            <w:r>
              <w:rPr>
                <w:rFonts w:ascii="Times New Roman" w:hAnsi="Times New Roman"/>
                <w:sz w:val="20"/>
              </w:rPr>
              <w:t xml:space="preserve"> </w:t>
            </w:r>
          </w:p>
          <w:p w14:paraId="0CC884BD" w14:textId="77777777" w:rsidR="00DF673A" w:rsidRDefault="00DF673A" w:rsidP="00574798">
            <w:pPr>
              <w:pStyle w:val="a3"/>
              <w:widowControl w:val="0"/>
              <w:ind w:left="0"/>
              <w:jc w:val="left"/>
              <w:rPr>
                <w:rFonts w:ascii="Times New Roman" w:hAnsi="Times New Roman"/>
                <w:sz w:val="20"/>
              </w:rPr>
            </w:pPr>
          </w:p>
          <w:p w14:paraId="03990ED2" w14:textId="77777777" w:rsidR="00DF673A" w:rsidRDefault="00DF673A" w:rsidP="00574798">
            <w:pPr>
              <w:widowControl w:val="0"/>
              <w:rPr>
                <w:rFonts w:ascii="Times New Roman" w:hAnsi="Times New Roman"/>
                <w:sz w:val="20"/>
              </w:rPr>
            </w:pPr>
          </w:p>
        </w:tc>
      </w:tr>
    </w:tbl>
    <w:p w14:paraId="3CD46EDB" w14:textId="77777777" w:rsidR="00C37F7A" w:rsidRDefault="00C37F7A"/>
    <w:sectPr w:rsidR="00C37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A5E4C"/>
    <w:multiLevelType w:val="multilevel"/>
    <w:tmpl w:val="4B2A5E4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3A"/>
    <w:rsid w:val="00C37F7A"/>
    <w:rsid w:val="00DF6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3959"/>
  <w15:chartTrackingRefBased/>
  <w15:docId w15:val="{76320BAD-55B6-407D-BB6F-AB3D9BB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73A"/>
    <w:pPr>
      <w:spacing w:after="0" w:line="240" w:lineRule="auto"/>
      <w:jc w:val="both"/>
    </w:pPr>
    <w:rPr>
      <w:rFonts w:ascii="Arial" w:eastAsia="Times New Roman" w:hAnsi="Arial" w:cs="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F673A"/>
    <w:pPr>
      <w:ind w:left="720"/>
    </w:pPr>
  </w:style>
  <w:style w:type="character" w:customStyle="1" w:styleId="a4">
    <w:name w:val="Абзац списка Знак"/>
    <w:link w:val="a3"/>
    <w:uiPriority w:val="34"/>
    <w:qFormat/>
    <w:locked/>
    <w:rsid w:val="00DF673A"/>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zharkyn.adilbaeva@gmail.com</dc:creator>
  <cp:keywords/>
  <dc:description/>
  <cp:lastModifiedBy>zharkyn.adilbaeva@gmail.com</cp:lastModifiedBy>
  <cp:revision>1</cp:revision>
  <dcterms:created xsi:type="dcterms:W3CDTF">2025-11-13T04:30:00Z</dcterms:created>
  <dcterms:modified xsi:type="dcterms:W3CDTF">2025-11-13T04:32:00Z</dcterms:modified>
</cp:coreProperties>
</file>