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48508" w14:textId="77777777" w:rsidR="009B6093" w:rsidRPr="00464B98" w:rsidRDefault="009B6093" w:rsidP="009B6093">
      <w:pPr>
        <w:pBdr>
          <w:top w:val="nil"/>
          <w:left w:val="nil"/>
          <w:bottom w:val="nil"/>
          <w:right w:val="nil"/>
          <w:between w:val="nil"/>
        </w:pBdr>
        <w:jc w:val="center"/>
        <w:rPr>
          <w:b/>
          <w:color w:val="000000"/>
        </w:rPr>
      </w:pPr>
      <w:r w:rsidRPr="00464B98">
        <w:rPr>
          <w:b/>
          <w:bCs/>
          <w:color w:val="000000"/>
        </w:rPr>
        <w:t>KYRGYZ REPUBLIC</w:t>
      </w:r>
    </w:p>
    <w:p w14:paraId="18A055F5" w14:textId="77777777" w:rsidR="009B6093" w:rsidRPr="00464B98" w:rsidRDefault="009B6093" w:rsidP="009B6093">
      <w:pPr>
        <w:pBdr>
          <w:top w:val="nil"/>
          <w:left w:val="nil"/>
          <w:bottom w:val="nil"/>
          <w:right w:val="nil"/>
          <w:between w:val="nil"/>
        </w:pBdr>
        <w:jc w:val="center"/>
        <w:rPr>
          <w:b/>
          <w:color w:val="000000"/>
        </w:rPr>
      </w:pPr>
    </w:p>
    <w:p w14:paraId="5A0E4782" w14:textId="77777777" w:rsidR="009B6093" w:rsidRPr="00464B98" w:rsidRDefault="009B6093" w:rsidP="009B6093">
      <w:pPr>
        <w:pBdr>
          <w:top w:val="nil"/>
          <w:left w:val="nil"/>
          <w:bottom w:val="nil"/>
          <w:right w:val="nil"/>
          <w:between w:val="nil"/>
        </w:pBdr>
        <w:jc w:val="center"/>
        <w:rPr>
          <w:b/>
          <w:color w:val="000000"/>
        </w:rPr>
      </w:pPr>
      <w:r w:rsidRPr="00464B98">
        <w:rPr>
          <w:b/>
          <w:bCs/>
          <w:color w:val="000000"/>
        </w:rPr>
        <w:t>ENHANCING RESILIENCE IN KYRGYZSTAN PROJECT</w:t>
      </w:r>
    </w:p>
    <w:p w14:paraId="7BF8B33D" w14:textId="77777777" w:rsidR="009B6093" w:rsidRPr="00464B98" w:rsidRDefault="009B6093" w:rsidP="009B6093">
      <w:pPr>
        <w:pBdr>
          <w:top w:val="nil"/>
          <w:left w:val="nil"/>
          <w:bottom w:val="nil"/>
          <w:right w:val="nil"/>
          <w:between w:val="nil"/>
        </w:pBdr>
        <w:jc w:val="center"/>
        <w:rPr>
          <w:b/>
          <w:color w:val="000000"/>
        </w:rPr>
      </w:pPr>
    </w:p>
    <w:p w14:paraId="0F013242" w14:textId="77777777" w:rsidR="009B6093" w:rsidRPr="00464B98" w:rsidRDefault="009B6093" w:rsidP="009B6093">
      <w:pPr>
        <w:pBdr>
          <w:top w:val="nil"/>
          <w:left w:val="nil"/>
          <w:bottom w:val="nil"/>
          <w:right w:val="nil"/>
          <w:between w:val="nil"/>
        </w:pBdr>
        <w:jc w:val="center"/>
        <w:rPr>
          <w:b/>
          <w:color w:val="000000"/>
        </w:rPr>
      </w:pPr>
      <w:r w:rsidRPr="00464B98">
        <w:rPr>
          <w:b/>
          <w:bCs/>
          <w:color w:val="000000"/>
        </w:rPr>
        <w:t>TERMS OF REFERENCE</w:t>
      </w:r>
    </w:p>
    <w:p w14:paraId="359ED285" w14:textId="77777777" w:rsidR="00E31D8A" w:rsidRPr="00464B98" w:rsidRDefault="00E31D8A" w:rsidP="007C63BA">
      <w:pPr>
        <w:pBdr>
          <w:top w:val="nil"/>
          <w:left w:val="nil"/>
          <w:bottom w:val="nil"/>
          <w:right w:val="nil"/>
          <w:between w:val="nil"/>
        </w:pBdr>
        <w:jc w:val="center"/>
        <w:rPr>
          <w:b/>
          <w:color w:val="000000"/>
        </w:rPr>
      </w:pPr>
    </w:p>
    <w:p w14:paraId="0F58DA6E" w14:textId="30ED5479" w:rsidR="009B6093" w:rsidRDefault="005E6AEE" w:rsidP="00476A3A">
      <w:pPr>
        <w:pBdr>
          <w:top w:val="nil"/>
          <w:left w:val="nil"/>
          <w:bottom w:val="nil"/>
          <w:right w:val="nil"/>
          <w:between w:val="nil"/>
        </w:pBdr>
        <w:jc w:val="center"/>
        <w:rPr>
          <w:b/>
          <w:color w:val="000000"/>
        </w:rPr>
      </w:pPr>
      <w:r w:rsidRPr="005E6AEE">
        <w:rPr>
          <w:b/>
          <w:color w:val="000000"/>
        </w:rPr>
        <w:t>Development of the reinsurance program</w:t>
      </w:r>
    </w:p>
    <w:p w14:paraId="5CE3FCF3" w14:textId="77777777" w:rsidR="005E6AEE" w:rsidRPr="00464B98" w:rsidRDefault="005E6AEE" w:rsidP="00476A3A">
      <w:pPr>
        <w:pBdr>
          <w:top w:val="nil"/>
          <w:left w:val="nil"/>
          <w:bottom w:val="nil"/>
          <w:right w:val="nil"/>
          <w:between w:val="nil"/>
        </w:pBdr>
        <w:jc w:val="center"/>
        <w:rPr>
          <w:b/>
          <w:color w:val="000000"/>
        </w:rPr>
      </w:pPr>
    </w:p>
    <w:p w14:paraId="443C5E7E" w14:textId="6AF980FE" w:rsidR="00E31D8A" w:rsidRPr="00464B98" w:rsidRDefault="009B6093" w:rsidP="007C63BA">
      <w:pPr>
        <w:pBdr>
          <w:top w:val="nil"/>
          <w:left w:val="nil"/>
          <w:bottom w:val="nil"/>
          <w:right w:val="nil"/>
          <w:between w:val="nil"/>
        </w:pBdr>
        <w:jc w:val="center"/>
        <w:rPr>
          <w:b/>
          <w:color w:val="000000"/>
        </w:rPr>
      </w:pPr>
      <w:bookmarkStart w:id="0" w:name="_heading=h.30j0zll" w:colFirst="0" w:colLast="0"/>
      <w:bookmarkEnd w:id="0"/>
      <w:r w:rsidRPr="00464B98">
        <w:rPr>
          <w:b/>
          <w:color w:val="000000"/>
        </w:rPr>
        <w:t>Consulting Services – Firm</w:t>
      </w:r>
    </w:p>
    <w:p w14:paraId="5B01E01D" w14:textId="77777777" w:rsidR="00E31D8A" w:rsidRPr="00464B98" w:rsidRDefault="00E31D8A" w:rsidP="007C63BA">
      <w:pPr>
        <w:pBdr>
          <w:top w:val="nil"/>
          <w:left w:val="nil"/>
          <w:bottom w:val="nil"/>
          <w:right w:val="nil"/>
          <w:between w:val="nil"/>
        </w:pBdr>
        <w:spacing w:after="120"/>
        <w:rPr>
          <w:color w:val="000000"/>
        </w:rPr>
      </w:pPr>
    </w:p>
    <w:p w14:paraId="71FF984A" w14:textId="03186418" w:rsidR="00E31D8A" w:rsidRPr="00464B98" w:rsidRDefault="009B6093" w:rsidP="00B048E4">
      <w:pPr>
        <w:numPr>
          <w:ilvl w:val="0"/>
          <w:numId w:val="2"/>
        </w:numPr>
        <w:pBdr>
          <w:top w:val="nil"/>
          <w:left w:val="nil"/>
          <w:bottom w:val="nil"/>
          <w:right w:val="nil"/>
          <w:between w:val="nil"/>
        </w:pBdr>
        <w:spacing w:after="120"/>
        <w:rPr>
          <w:b/>
          <w:color w:val="000000"/>
        </w:rPr>
      </w:pPr>
      <w:r w:rsidRPr="00464B98">
        <w:rPr>
          <w:b/>
          <w:color w:val="000000"/>
        </w:rPr>
        <w:t>BACKGROUND</w:t>
      </w:r>
    </w:p>
    <w:p w14:paraId="43C096E2" w14:textId="77777777" w:rsidR="009B6093" w:rsidRPr="00464B98" w:rsidRDefault="009B6093" w:rsidP="009B6093">
      <w:pPr>
        <w:pStyle w:val="afff1"/>
        <w:jc w:val="both"/>
      </w:pPr>
      <w:r w:rsidRPr="00464B98">
        <w:t>The Government of the Kyrgyz Republic is implementing a reform of the mandatory insurance system for residential buildings against natural disasters in order to increase the financial stability of insurance protection for the population and reduce fiscal risks associated with large-scale emergencies. As part of this reform, consideration is being given to creating an insurance pool and/or improving the institutional model of the State Insurance Organization (SIO) as a systemically important participant in the compulsory insurance program.</w:t>
      </w:r>
    </w:p>
    <w:p w14:paraId="4E693A83" w14:textId="1B49FF21" w:rsidR="009B6093" w:rsidRPr="00464B98" w:rsidRDefault="009B6093" w:rsidP="009B6093">
      <w:pPr>
        <w:pStyle w:val="afff1"/>
        <w:jc w:val="both"/>
      </w:pPr>
      <w:r>
        <w:t xml:space="preserve">One of the key elements of the sustainability of the compulsory insurance </w:t>
      </w:r>
      <w:r w:rsidR="59360BA8">
        <w:t xml:space="preserve">program </w:t>
      </w:r>
      <w:r>
        <w:t>is the existence of an effective outward reinsurance strategy that protects the capital of the insurance system from extreme losses, ensures compliance with solvency requirements, and reduces dependence on emergency budget transfers and indirect state guarantees.</w:t>
      </w:r>
    </w:p>
    <w:p w14:paraId="35F68856" w14:textId="77777777" w:rsidR="009B6093" w:rsidRPr="00464B98" w:rsidRDefault="009B6093" w:rsidP="009B6093">
      <w:pPr>
        <w:pStyle w:val="afff1"/>
        <w:jc w:val="both"/>
      </w:pPr>
      <w:r w:rsidRPr="00464B98">
        <w:t xml:space="preserve">Currently, mechanisms for the distribution and transfer of insurance risks, including reinsurance practices, are in the process of being developed and require comprehensive analysis, taking into account the current regulatory and legal conditions, the financial capabilities of the SSO, the potential role of the state, as well as the interests and requirements of the international reinsurance market. The lack of a formalized and financially sound reinsurance strategy limits the possibilities for the sustainable development of the compulsory insurance program and </w:t>
      </w:r>
      <w:proofErr w:type="gramStart"/>
      <w:r w:rsidRPr="00464B98">
        <w:t>its</w:t>
      </w:r>
      <w:proofErr w:type="gramEnd"/>
      <w:r w:rsidRPr="00464B98">
        <w:t xml:space="preserve"> scaling up in the context of insurance portfolio growth and an increase in the frequency and intensity of natural disasters.</w:t>
      </w:r>
    </w:p>
    <w:p w14:paraId="4DD90F6D" w14:textId="77777777" w:rsidR="009B6093" w:rsidRPr="00464B98" w:rsidRDefault="009B6093" w:rsidP="009B6093">
      <w:pPr>
        <w:pStyle w:val="afff1"/>
        <w:jc w:val="both"/>
      </w:pPr>
      <w:r w:rsidRPr="00464B98">
        <w:t>In this regard, it is planned to engage a consulting company to provide advisory services on the development of a comprehensive outward reinsurance strategy focused on phased implementation, compliance with international practice, and the institutional readiness of the Kyrgyz Republic. The strategy being developed should ensure a balanced distribution of risks between the national insurance system, the state, and the international reinsurance market, as well as create a basis for regular and transparent placement of reinsurance coverage in subsequent years.</w:t>
      </w:r>
    </w:p>
    <w:p w14:paraId="2BE0E879" w14:textId="4ECCBD06" w:rsidR="00E31D8A" w:rsidRPr="00464B98" w:rsidRDefault="00186A81" w:rsidP="00B048E4">
      <w:pPr>
        <w:numPr>
          <w:ilvl w:val="0"/>
          <w:numId w:val="2"/>
        </w:numPr>
        <w:pBdr>
          <w:top w:val="nil"/>
          <w:left w:val="nil"/>
          <w:bottom w:val="nil"/>
          <w:right w:val="nil"/>
          <w:between w:val="nil"/>
        </w:pBdr>
        <w:spacing w:after="120"/>
        <w:rPr>
          <w:b/>
          <w:color w:val="000000"/>
        </w:rPr>
      </w:pPr>
      <w:r w:rsidRPr="00464B98">
        <w:rPr>
          <w:b/>
          <w:color w:val="000000"/>
        </w:rPr>
        <w:t xml:space="preserve"> </w:t>
      </w:r>
      <w:r w:rsidR="009B6093" w:rsidRPr="00464B98">
        <w:rPr>
          <w:b/>
          <w:color w:val="000000"/>
        </w:rPr>
        <w:t>OBJECTIVE</w:t>
      </w:r>
    </w:p>
    <w:p w14:paraId="343CA0E8" w14:textId="67CA298E" w:rsidR="00AA66FE" w:rsidRDefault="009B6093" w:rsidP="00D75BD0">
      <w:pPr>
        <w:pBdr>
          <w:top w:val="nil"/>
          <w:left w:val="nil"/>
          <w:bottom w:val="nil"/>
          <w:right w:val="nil"/>
          <w:between w:val="nil"/>
        </w:pBdr>
        <w:spacing w:after="120"/>
        <w:jc w:val="both"/>
      </w:pPr>
      <w:bookmarkStart w:id="1" w:name="_heading=h.1fob9te" w:colFirst="0" w:colLast="0"/>
      <w:bookmarkEnd w:id="1"/>
      <w:r w:rsidRPr="00464B98">
        <w:t>To support the Government of the Kyrgyz Republic, the State Insurance Organization (SIO), and any future potential collective insurance pool to design and implement a financially sound, phased, and fit-for-purpose outward reinsurance strategy. This is aimed at enhancing the financial protection of the national mandatory disaster insurance program by meeting solvency capital requirements, reducing the reliance on government budgets and implicit guarantees, and mitigating fiscal risk from large-scale disaster events.</w:t>
      </w:r>
    </w:p>
    <w:p w14:paraId="10A11A0D" w14:textId="77777777" w:rsidR="004D39FF" w:rsidRPr="00464B98" w:rsidRDefault="004D39FF" w:rsidP="00D75BD0">
      <w:pPr>
        <w:pBdr>
          <w:top w:val="nil"/>
          <w:left w:val="nil"/>
          <w:bottom w:val="nil"/>
          <w:right w:val="nil"/>
          <w:between w:val="nil"/>
        </w:pBdr>
        <w:spacing w:after="120"/>
        <w:jc w:val="both"/>
      </w:pPr>
    </w:p>
    <w:p w14:paraId="2D8DA876" w14:textId="6D276EC5" w:rsidR="00E31D8A" w:rsidRPr="00464B98" w:rsidRDefault="009B6093" w:rsidP="00B048E4">
      <w:pPr>
        <w:numPr>
          <w:ilvl w:val="0"/>
          <w:numId w:val="2"/>
        </w:numPr>
        <w:pBdr>
          <w:top w:val="nil"/>
          <w:left w:val="nil"/>
          <w:bottom w:val="nil"/>
          <w:right w:val="nil"/>
          <w:between w:val="nil"/>
        </w:pBdr>
        <w:tabs>
          <w:tab w:val="left" w:pos="426"/>
        </w:tabs>
        <w:spacing w:after="120"/>
        <w:rPr>
          <w:b/>
          <w:color w:val="000000"/>
        </w:rPr>
      </w:pPr>
      <w:r w:rsidRPr="00464B98">
        <w:rPr>
          <w:b/>
          <w:color w:val="000000"/>
        </w:rPr>
        <w:t>SCOPE OF WORK</w:t>
      </w:r>
    </w:p>
    <w:p w14:paraId="5F9EDA92" w14:textId="029CCBFD" w:rsidR="009B6093" w:rsidRPr="00464B98" w:rsidRDefault="00265A4F" w:rsidP="00067F35">
      <w:pPr>
        <w:pBdr>
          <w:top w:val="nil"/>
          <w:left w:val="nil"/>
          <w:bottom w:val="nil"/>
          <w:right w:val="nil"/>
          <w:between w:val="nil"/>
        </w:pBdr>
        <w:spacing w:after="120"/>
        <w:jc w:val="both"/>
        <w:rPr>
          <w:highlight w:val="yellow"/>
        </w:rPr>
      </w:pPr>
      <w:r w:rsidRPr="00464B98">
        <w:t xml:space="preserve">The consultant will deliver technical and advisory services on developing an outward reinsurance strategy to enhance the financial sustainability of the compulsory insurance program for residential </w:t>
      </w:r>
      <w:r w:rsidRPr="00464B98">
        <w:lastRenderedPageBreak/>
        <w:t>buildings against natural disasters. The work will be carried out in stages and will include the following key areas:</w:t>
      </w:r>
    </w:p>
    <w:p w14:paraId="482D5AAC" w14:textId="31359C5F" w:rsidR="00067F35" w:rsidRPr="00464B98" w:rsidRDefault="00265A4F" w:rsidP="00B048E4">
      <w:pPr>
        <w:pStyle w:val="ad"/>
        <w:numPr>
          <w:ilvl w:val="0"/>
          <w:numId w:val="5"/>
        </w:numPr>
        <w:pBdr>
          <w:top w:val="nil"/>
          <w:left w:val="nil"/>
          <w:bottom w:val="nil"/>
          <w:right w:val="nil"/>
          <w:between w:val="nil"/>
        </w:pBdr>
        <w:spacing w:after="120"/>
        <w:ind w:left="284" w:hanging="284"/>
        <w:jc w:val="both"/>
        <w:rPr>
          <w:rFonts w:ascii="Times New Roman" w:hAnsi="Times New Roman" w:cs="Times New Roman"/>
          <w:b/>
          <w:bCs/>
          <w:sz w:val="24"/>
          <w:szCs w:val="24"/>
        </w:rPr>
      </w:pPr>
      <w:r w:rsidRPr="00464B98">
        <w:rPr>
          <w:rFonts w:ascii="Times New Roman" w:hAnsi="Times New Roman" w:cs="Times New Roman"/>
          <w:b/>
          <w:bCs/>
          <w:sz w:val="24"/>
          <w:szCs w:val="24"/>
        </w:rPr>
        <w:t>Review of Current Reinsurance Practices</w:t>
      </w:r>
      <w:r w:rsidR="00AA66FE" w:rsidRPr="00464B98">
        <w:rPr>
          <w:rFonts w:ascii="Times New Roman" w:hAnsi="Times New Roman" w:cs="Times New Roman"/>
          <w:b/>
          <w:bCs/>
          <w:sz w:val="24"/>
          <w:szCs w:val="24"/>
        </w:rPr>
        <w:t xml:space="preserve"> </w:t>
      </w:r>
      <w:r w:rsidRPr="00464B98">
        <w:rPr>
          <w:rFonts w:ascii="Times New Roman" w:hAnsi="Times New Roman" w:cs="Times New Roman"/>
          <w:b/>
          <w:bCs/>
          <w:sz w:val="24"/>
          <w:szCs w:val="24"/>
        </w:rPr>
        <w:t>and Institutional Environment</w:t>
      </w:r>
    </w:p>
    <w:p w14:paraId="70B30EB8" w14:textId="77777777" w:rsidR="00265A4F" w:rsidRPr="00464B98" w:rsidRDefault="00265A4F" w:rsidP="00265A4F">
      <w:pPr>
        <w:pStyle w:val="afff1"/>
      </w:pPr>
      <w:r w:rsidRPr="00464B98">
        <w:t>As part of this stage, the Consultant will conduct a comprehensive analysis of existing risk management mechanisms and reinsurance practices, including:</w:t>
      </w:r>
    </w:p>
    <w:p w14:paraId="46A4BF2B" w14:textId="77777777" w:rsidR="00265A4F" w:rsidRPr="00464B98" w:rsidRDefault="00265A4F" w:rsidP="00265A4F">
      <w:pPr>
        <w:pStyle w:val="ad"/>
        <w:numPr>
          <w:ilvl w:val="0"/>
          <w:numId w:val="6"/>
        </w:numPr>
        <w:pBdr>
          <w:top w:val="nil"/>
          <w:left w:val="nil"/>
          <w:bottom w:val="nil"/>
          <w:right w:val="nil"/>
          <w:between w:val="nil"/>
        </w:pBdr>
        <w:spacing w:after="120"/>
        <w:jc w:val="both"/>
        <w:rPr>
          <w:rFonts w:ascii="Times New Roman" w:hAnsi="Times New Roman" w:cs="Times New Roman"/>
          <w:sz w:val="24"/>
          <w:szCs w:val="24"/>
        </w:rPr>
      </w:pPr>
      <w:r w:rsidRPr="00464B98">
        <w:rPr>
          <w:rFonts w:ascii="Times New Roman" w:hAnsi="Times New Roman" w:cs="Times New Roman"/>
          <w:sz w:val="24"/>
          <w:szCs w:val="24"/>
        </w:rPr>
        <w:t>Conduct structured consultations with the financial regulator and the SIO to understand existing governance and financial oversight arrangements pertaining to reinsurance, and how these are integrated with the solvency requirements framework.</w:t>
      </w:r>
    </w:p>
    <w:p w14:paraId="3946BFD8" w14:textId="77777777" w:rsidR="00265A4F" w:rsidRPr="00464B98" w:rsidRDefault="00265A4F" w:rsidP="00265A4F">
      <w:pPr>
        <w:pStyle w:val="ad"/>
        <w:numPr>
          <w:ilvl w:val="0"/>
          <w:numId w:val="6"/>
        </w:numPr>
        <w:pBdr>
          <w:top w:val="nil"/>
          <w:left w:val="nil"/>
          <w:bottom w:val="nil"/>
          <w:right w:val="nil"/>
          <w:between w:val="nil"/>
        </w:pBdr>
        <w:spacing w:after="120"/>
        <w:jc w:val="both"/>
        <w:rPr>
          <w:rFonts w:ascii="Times New Roman" w:hAnsi="Times New Roman" w:cs="Times New Roman"/>
          <w:sz w:val="24"/>
          <w:szCs w:val="24"/>
        </w:rPr>
      </w:pPr>
      <w:r w:rsidRPr="00464B98">
        <w:rPr>
          <w:rFonts w:ascii="Times New Roman" w:hAnsi="Times New Roman" w:cs="Times New Roman"/>
          <w:sz w:val="24"/>
          <w:szCs w:val="24"/>
        </w:rPr>
        <w:t>Meet with relevant government stakeholders (e.g. Ministry of Finance, Ministry of Emergency Situations) to determine the scope of any implicit financial guarantees and their relevance to potential reinsurance designs.</w:t>
      </w:r>
    </w:p>
    <w:p w14:paraId="6A3A9888" w14:textId="77777777" w:rsidR="00265A4F" w:rsidRPr="00464B98" w:rsidRDefault="00265A4F" w:rsidP="00265A4F">
      <w:pPr>
        <w:pStyle w:val="ad"/>
        <w:numPr>
          <w:ilvl w:val="0"/>
          <w:numId w:val="6"/>
        </w:numPr>
        <w:pBdr>
          <w:top w:val="nil"/>
          <w:left w:val="nil"/>
          <w:bottom w:val="nil"/>
          <w:right w:val="nil"/>
          <w:between w:val="nil"/>
        </w:pBdr>
        <w:spacing w:after="120"/>
        <w:jc w:val="both"/>
        <w:rPr>
          <w:rFonts w:ascii="Times New Roman" w:hAnsi="Times New Roman" w:cs="Times New Roman"/>
          <w:sz w:val="24"/>
          <w:szCs w:val="24"/>
        </w:rPr>
      </w:pPr>
      <w:r w:rsidRPr="00464B98">
        <w:rPr>
          <w:rFonts w:ascii="Times New Roman" w:hAnsi="Times New Roman" w:cs="Times New Roman"/>
          <w:sz w:val="24"/>
          <w:szCs w:val="24"/>
        </w:rPr>
        <w:t>Review the public policy purpose of the scheme, including its intended objectives, role in financial protection, and alignment with broader disaster risk management or social protection frameworks.</w:t>
      </w:r>
    </w:p>
    <w:p w14:paraId="64FA9C27" w14:textId="5AE27723" w:rsidR="00265A4F" w:rsidRPr="00464B98" w:rsidRDefault="00265A4F" w:rsidP="1AFBC361">
      <w:pPr>
        <w:pStyle w:val="ad"/>
        <w:numPr>
          <w:ilvl w:val="0"/>
          <w:numId w:val="6"/>
        </w:numPr>
        <w:pBdr>
          <w:top w:val="nil"/>
          <w:left w:val="nil"/>
          <w:bottom w:val="nil"/>
          <w:right w:val="nil"/>
          <w:between w:val="nil"/>
        </w:pBdr>
        <w:spacing w:after="120"/>
        <w:jc w:val="both"/>
        <w:rPr>
          <w:rFonts w:ascii="Times New Roman" w:hAnsi="Times New Roman" w:cs="Times New Roman"/>
          <w:sz w:val="24"/>
          <w:szCs w:val="24"/>
        </w:rPr>
      </w:pPr>
      <w:r w:rsidRPr="1AFBC361">
        <w:rPr>
          <w:rFonts w:ascii="Times New Roman" w:hAnsi="Times New Roman" w:cs="Times New Roman"/>
          <w:sz w:val="24"/>
          <w:szCs w:val="24"/>
        </w:rPr>
        <w:t xml:space="preserve">Hold bilateral meetings with key domestic insurers to document any current or historical reinsurance practices, with particular attention to the prevalence of inward reinsurance arrangements </w:t>
      </w:r>
      <w:r w:rsidR="2B278FA6" w:rsidRPr="1AFBC361">
        <w:rPr>
          <w:rFonts w:ascii="Times New Roman" w:hAnsi="Times New Roman" w:cs="Times New Roman"/>
          <w:sz w:val="24"/>
          <w:szCs w:val="24"/>
        </w:rPr>
        <w:t>undertaken among insurers</w:t>
      </w:r>
      <w:r w:rsidRPr="1AFBC361">
        <w:rPr>
          <w:rFonts w:ascii="Times New Roman" w:hAnsi="Times New Roman" w:cs="Times New Roman"/>
          <w:sz w:val="24"/>
          <w:szCs w:val="24"/>
        </w:rPr>
        <w:t xml:space="preserve"> the Kyrgyz market</w:t>
      </w:r>
      <w:r w:rsidRPr="00A60166">
        <w:rPr>
          <w:rFonts w:ascii="Times New Roman" w:hAnsi="Times New Roman" w:cs="Times New Roman"/>
          <w:sz w:val="24"/>
          <w:szCs w:val="24"/>
        </w:rPr>
        <w:t xml:space="preserve">. </w:t>
      </w:r>
      <w:r w:rsidRPr="1AFBC361">
        <w:rPr>
          <w:rFonts w:ascii="Times New Roman" w:hAnsi="Times New Roman" w:cs="Times New Roman"/>
          <w:sz w:val="24"/>
          <w:szCs w:val="24"/>
        </w:rPr>
        <w:t>These discussions should also explore the appetite for establishing a shared risk among providers and evaluating the potential for pooled outward reinsurance coverage or collective negotiations with reinsurers to increase pricing efficiency and coverage availability.</w:t>
      </w:r>
    </w:p>
    <w:p w14:paraId="7D4582F1" w14:textId="3D016C95" w:rsidR="00265A4F" w:rsidRPr="00464B98" w:rsidRDefault="00265A4F" w:rsidP="1AFBC361">
      <w:pPr>
        <w:pStyle w:val="ad"/>
        <w:numPr>
          <w:ilvl w:val="0"/>
          <w:numId w:val="6"/>
        </w:numPr>
        <w:pBdr>
          <w:top w:val="nil"/>
          <w:left w:val="nil"/>
          <w:bottom w:val="nil"/>
          <w:right w:val="nil"/>
          <w:between w:val="nil"/>
        </w:pBdr>
        <w:spacing w:after="120"/>
        <w:jc w:val="both"/>
        <w:rPr>
          <w:rFonts w:ascii="Times New Roman" w:hAnsi="Times New Roman" w:cs="Times New Roman"/>
          <w:sz w:val="24"/>
          <w:szCs w:val="24"/>
        </w:rPr>
      </w:pPr>
      <w:r w:rsidRPr="1AFBC361">
        <w:rPr>
          <w:rFonts w:ascii="Times New Roman" w:hAnsi="Times New Roman" w:cs="Times New Roman"/>
          <w:sz w:val="24"/>
          <w:szCs w:val="24"/>
        </w:rPr>
        <w:t xml:space="preserve">Review any existing memoranda, concept notes, or </w:t>
      </w:r>
      <w:r w:rsidR="6206E111" w:rsidRPr="1AFBC361">
        <w:rPr>
          <w:rFonts w:ascii="Times New Roman" w:hAnsi="Times New Roman" w:cs="Times New Roman"/>
          <w:sz w:val="24"/>
          <w:szCs w:val="24"/>
        </w:rPr>
        <w:t>other relevant</w:t>
      </w:r>
      <w:r w:rsidRPr="1AFBC361">
        <w:rPr>
          <w:rFonts w:ascii="Times New Roman" w:hAnsi="Times New Roman" w:cs="Times New Roman"/>
          <w:sz w:val="24"/>
          <w:szCs w:val="24"/>
        </w:rPr>
        <w:t xml:space="preserve"> documents produced by the SIO or other actors relating to reinsurance procurement or engagement.</w:t>
      </w:r>
    </w:p>
    <w:p w14:paraId="6EBD64A3" w14:textId="335F24D9" w:rsidR="00265A4F" w:rsidRPr="00464B98" w:rsidRDefault="00265A4F" w:rsidP="1AFBC361">
      <w:pPr>
        <w:pStyle w:val="ad"/>
        <w:numPr>
          <w:ilvl w:val="0"/>
          <w:numId w:val="6"/>
        </w:numPr>
        <w:pBdr>
          <w:top w:val="nil"/>
          <w:left w:val="nil"/>
          <w:bottom w:val="nil"/>
          <w:right w:val="nil"/>
          <w:between w:val="nil"/>
        </w:pBdr>
        <w:spacing w:after="120"/>
        <w:jc w:val="both"/>
        <w:rPr>
          <w:rFonts w:ascii="Times New Roman" w:hAnsi="Times New Roman" w:cs="Times New Roman"/>
          <w:sz w:val="24"/>
          <w:szCs w:val="24"/>
        </w:rPr>
      </w:pPr>
      <w:r w:rsidRPr="1AFBC361">
        <w:rPr>
          <w:rFonts w:ascii="Times New Roman" w:hAnsi="Times New Roman" w:cs="Times New Roman"/>
          <w:sz w:val="24"/>
          <w:szCs w:val="24"/>
        </w:rPr>
        <w:t xml:space="preserve">Clarify the existence of any dedicated reserves or fund to support claims or risk transfer arrangements, </w:t>
      </w:r>
      <w:r w:rsidR="1D7B19D3" w:rsidRPr="1AFBC361">
        <w:rPr>
          <w:rFonts w:ascii="Times New Roman" w:hAnsi="Times New Roman" w:cs="Times New Roman"/>
          <w:sz w:val="24"/>
          <w:szCs w:val="24"/>
        </w:rPr>
        <w:t xml:space="preserve">including those held by the SIO or backed by implicit or explicit government guarantees, </w:t>
      </w:r>
      <w:r w:rsidRPr="1AFBC361">
        <w:rPr>
          <w:rFonts w:ascii="Times New Roman" w:hAnsi="Times New Roman" w:cs="Times New Roman"/>
          <w:sz w:val="24"/>
          <w:szCs w:val="24"/>
        </w:rPr>
        <w:t xml:space="preserve">and assess how </w:t>
      </w:r>
      <w:r w:rsidR="2CB4B024" w:rsidRPr="1AFBC361">
        <w:rPr>
          <w:rFonts w:ascii="Times New Roman" w:hAnsi="Times New Roman" w:cs="Times New Roman"/>
          <w:sz w:val="24"/>
          <w:szCs w:val="24"/>
        </w:rPr>
        <w:t xml:space="preserve">such mechanisms are </w:t>
      </w:r>
      <w:r w:rsidRPr="1AFBC361">
        <w:rPr>
          <w:rFonts w:ascii="Times New Roman" w:hAnsi="Times New Roman" w:cs="Times New Roman"/>
          <w:sz w:val="24"/>
          <w:szCs w:val="24"/>
        </w:rPr>
        <w:t>structured, capitalized, invested, and governed.</w:t>
      </w:r>
    </w:p>
    <w:p w14:paraId="72CAC29D" w14:textId="77777777" w:rsidR="00265A4F" w:rsidRPr="00464B98" w:rsidRDefault="00265A4F" w:rsidP="00265A4F">
      <w:pPr>
        <w:pStyle w:val="ad"/>
        <w:numPr>
          <w:ilvl w:val="0"/>
          <w:numId w:val="6"/>
        </w:numPr>
        <w:pBdr>
          <w:top w:val="nil"/>
          <w:left w:val="nil"/>
          <w:bottom w:val="nil"/>
          <w:right w:val="nil"/>
          <w:between w:val="nil"/>
        </w:pBdr>
        <w:spacing w:after="120"/>
        <w:jc w:val="both"/>
        <w:rPr>
          <w:rFonts w:ascii="Times New Roman" w:hAnsi="Times New Roman" w:cs="Times New Roman"/>
          <w:sz w:val="24"/>
          <w:szCs w:val="24"/>
        </w:rPr>
      </w:pPr>
      <w:r w:rsidRPr="00464B98">
        <w:rPr>
          <w:rFonts w:ascii="Times New Roman" w:hAnsi="Times New Roman" w:cs="Times New Roman"/>
          <w:sz w:val="24"/>
          <w:szCs w:val="24"/>
        </w:rPr>
        <w:t>Map existing and recent discussions with international reinsurers or brokers (including through development partners or private sector intermediaries) to understand initial feedback, technical requirements, and indicative interest in the Kyrgyz portfolio.</w:t>
      </w:r>
    </w:p>
    <w:p w14:paraId="6ACB2BF6" w14:textId="25A384BF" w:rsidR="00067F35" w:rsidRPr="00464B98" w:rsidRDefault="00265A4F" w:rsidP="1AFBC361">
      <w:pPr>
        <w:pStyle w:val="ad"/>
        <w:numPr>
          <w:ilvl w:val="0"/>
          <w:numId w:val="6"/>
        </w:numPr>
        <w:pBdr>
          <w:top w:val="nil"/>
          <w:left w:val="nil"/>
          <w:bottom w:val="nil"/>
          <w:right w:val="nil"/>
          <w:between w:val="nil"/>
        </w:pBdr>
        <w:spacing w:after="120"/>
        <w:jc w:val="both"/>
        <w:rPr>
          <w:rFonts w:ascii="Times New Roman" w:hAnsi="Times New Roman" w:cs="Times New Roman"/>
          <w:sz w:val="24"/>
          <w:szCs w:val="24"/>
        </w:rPr>
      </w:pPr>
      <w:r w:rsidRPr="1AFBC361">
        <w:rPr>
          <w:rFonts w:ascii="Times New Roman" w:hAnsi="Times New Roman" w:cs="Times New Roman"/>
          <w:sz w:val="24"/>
          <w:szCs w:val="24"/>
        </w:rPr>
        <w:t>Identify areas where SIO require</w:t>
      </w:r>
      <w:r w:rsidR="4D45CE7B" w:rsidRPr="1AFBC361">
        <w:rPr>
          <w:rFonts w:ascii="Times New Roman" w:hAnsi="Times New Roman" w:cs="Times New Roman"/>
          <w:sz w:val="24"/>
          <w:szCs w:val="24"/>
        </w:rPr>
        <w:t>s</w:t>
      </w:r>
      <w:r w:rsidRPr="1AFBC361">
        <w:rPr>
          <w:rFonts w:ascii="Times New Roman" w:hAnsi="Times New Roman" w:cs="Times New Roman"/>
          <w:sz w:val="24"/>
          <w:szCs w:val="24"/>
        </w:rPr>
        <w:t xml:space="preserve"> targeted advisory support</w:t>
      </w:r>
      <w:r w:rsidR="5219CB23" w:rsidRPr="1AFBC361">
        <w:rPr>
          <w:rFonts w:ascii="Times New Roman" w:hAnsi="Times New Roman" w:cs="Times New Roman"/>
          <w:sz w:val="24"/>
          <w:szCs w:val="24"/>
        </w:rPr>
        <w:t xml:space="preserve">, and where the regulator requires </w:t>
      </w:r>
      <w:r w:rsidRPr="1AFBC361">
        <w:rPr>
          <w:rFonts w:ascii="Times New Roman" w:hAnsi="Times New Roman" w:cs="Times New Roman"/>
          <w:sz w:val="24"/>
          <w:szCs w:val="24"/>
        </w:rPr>
        <w:t xml:space="preserve">legal </w:t>
      </w:r>
      <w:r w:rsidR="439C6E5B" w:rsidRPr="1AFBC361">
        <w:rPr>
          <w:rFonts w:ascii="Times New Roman" w:hAnsi="Times New Roman" w:cs="Times New Roman"/>
          <w:sz w:val="24"/>
          <w:szCs w:val="24"/>
        </w:rPr>
        <w:t xml:space="preserve">and regulatory </w:t>
      </w:r>
      <w:r w:rsidRPr="1AFBC361">
        <w:rPr>
          <w:rFonts w:ascii="Times New Roman" w:hAnsi="Times New Roman" w:cs="Times New Roman"/>
          <w:sz w:val="24"/>
          <w:szCs w:val="24"/>
        </w:rPr>
        <w:t>clarity</w:t>
      </w:r>
      <w:r w:rsidR="2B0B6A90" w:rsidRPr="1AFBC361">
        <w:rPr>
          <w:rFonts w:ascii="Times New Roman" w:hAnsi="Times New Roman" w:cs="Times New Roman"/>
          <w:sz w:val="24"/>
          <w:szCs w:val="24"/>
        </w:rPr>
        <w:t>,</w:t>
      </w:r>
      <w:r w:rsidRPr="1AFBC361">
        <w:rPr>
          <w:rFonts w:ascii="Times New Roman" w:hAnsi="Times New Roman" w:cs="Times New Roman"/>
          <w:sz w:val="24"/>
          <w:szCs w:val="24"/>
        </w:rPr>
        <w:t xml:space="preserve"> in order to proceed with structured reinsurance procurement.</w:t>
      </w:r>
    </w:p>
    <w:p w14:paraId="7BD02106" w14:textId="77777777" w:rsidR="007838F2" w:rsidRPr="00464B98" w:rsidRDefault="007838F2" w:rsidP="007838F2">
      <w:pPr>
        <w:pStyle w:val="ad"/>
        <w:rPr>
          <w:rFonts w:ascii="Times New Roman" w:hAnsi="Times New Roman" w:cs="Times New Roman"/>
          <w:sz w:val="24"/>
          <w:szCs w:val="24"/>
        </w:rPr>
      </w:pPr>
    </w:p>
    <w:p w14:paraId="2D1ECDE0" w14:textId="33EE5A33" w:rsidR="00E14744" w:rsidRPr="00464B98" w:rsidRDefault="00D52BAC" w:rsidP="00B048E4">
      <w:pPr>
        <w:pStyle w:val="ad"/>
        <w:numPr>
          <w:ilvl w:val="0"/>
          <w:numId w:val="5"/>
        </w:numPr>
        <w:pBdr>
          <w:top w:val="nil"/>
          <w:left w:val="nil"/>
          <w:bottom w:val="nil"/>
          <w:right w:val="nil"/>
          <w:between w:val="nil"/>
        </w:pBdr>
        <w:spacing w:after="120" w:line="240" w:lineRule="auto"/>
        <w:ind w:left="426" w:hanging="284"/>
        <w:jc w:val="both"/>
        <w:rPr>
          <w:rFonts w:ascii="Times New Roman" w:hAnsi="Times New Roman" w:cs="Times New Roman"/>
          <w:b/>
          <w:bCs/>
          <w:sz w:val="24"/>
          <w:szCs w:val="24"/>
        </w:rPr>
      </w:pPr>
      <w:r w:rsidRPr="00464B98">
        <w:rPr>
          <w:rFonts w:ascii="Times New Roman" w:hAnsi="Times New Roman" w:cs="Times New Roman"/>
          <w:b/>
          <w:bCs/>
          <w:sz w:val="24"/>
          <w:szCs w:val="24"/>
        </w:rPr>
        <w:t>Development of Outward Reinsurance Strategy</w:t>
      </w:r>
    </w:p>
    <w:p w14:paraId="711980EB" w14:textId="666E845A" w:rsidR="007838F2" w:rsidRPr="00464B98" w:rsidRDefault="00D52BAC" w:rsidP="00FF34D5">
      <w:pPr>
        <w:pStyle w:val="ad"/>
        <w:pBdr>
          <w:top w:val="nil"/>
          <w:left w:val="nil"/>
          <w:bottom w:val="nil"/>
          <w:right w:val="nil"/>
          <w:between w:val="nil"/>
        </w:pBdr>
        <w:spacing w:after="0" w:line="240" w:lineRule="auto"/>
        <w:ind w:left="142"/>
        <w:jc w:val="both"/>
        <w:rPr>
          <w:rFonts w:ascii="Times New Roman" w:hAnsi="Times New Roman" w:cs="Times New Roman"/>
          <w:sz w:val="24"/>
          <w:szCs w:val="24"/>
        </w:rPr>
      </w:pPr>
      <w:r w:rsidRPr="00464B98">
        <w:rPr>
          <w:rFonts w:ascii="Times New Roman" w:hAnsi="Times New Roman" w:cs="Times New Roman"/>
          <w:sz w:val="24"/>
          <w:szCs w:val="24"/>
        </w:rPr>
        <w:t>Based on the results of the analytical stage, the Consultant will develop a comprehensive outward reinsurance strategy, including:</w:t>
      </w:r>
    </w:p>
    <w:p w14:paraId="67A9C06D" w14:textId="77777777" w:rsidR="007838F2" w:rsidRPr="00464B98" w:rsidRDefault="007838F2" w:rsidP="007838F2">
      <w:pPr>
        <w:pStyle w:val="ad"/>
        <w:pBdr>
          <w:top w:val="nil"/>
          <w:left w:val="nil"/>
          <w:bottom w:val="nil"/>
          <w:right w:val="nil"/>
          <w:between w:val="nil"/>
        </w:pBdr>
        <w:spacing w:after="120"/>
        <w:ind w:left="426"/>
        <w:jc w:val="both"/>
        <w:rPr>
          <w:rFonts w:ascii="Times New Roman" w:hAnsi="Times New Roman" w:cs="Times New Roman"/>
          <w:sz w:val="24"/>
          <w:szCs w:val="24"/>
        </w:rPr>
      </w:pPr>
    </w:p>
    <w:p w14:paraId="1CF61071" w14:textId="5DFC94E7" w:rsidR="00D52BAC" w:rsidRPr="00464B98" w:rsidRDefault="00D52BAC" w:rsidP="1AFBC361">
      <w:pPr>
        <w:pStyle w:val="ad"/>
        <w:numPr>
          <w:ilvl w:val="0"/>
          <w:numId w:val="7"/>
        </w:numPr>
        <w:pBdr>
          <w:top w:val="nil"/>
          <w:left w:val="nil"/>
          <w:bottom w:val="nil"/>
          <w:right w:val="nil"/>
          <w:between w:val="nil"/>
        </w:pBdr>
        <w:spacing w:after="120"/>
        <w:jc w:val="both"/>
        <w:rPr>
          <w:rFonts w:ascii="Times New Roman" w:hAnsi="Times New Roman" w:cs="Times New Roman"/>
          <w:sz w:val="24"/>
          <w:szCs w:val="24"/>
        </w:rPr>
      </w:pPr>
      <w:r w:rsidRPr="1AFBC361">
        <w:rPr>
          <w:rFonts w:ascii="Times New Roman" w:hAnsi="Times New Roman" w:cs="Times New Roman"/>
          <w:sz w:val="24"/>
          <w:szCs w:val="24"/>
        </w:rPr>
        <w:t>Identify appropriate risk layering frameworks suited to the Kyrgyz context, including proportional vs. non-proportional structures (</w:t>
      </w:r>
      <w:r w:rsidR="79A5AEC3" w:rsidRPr="1AFBC361">
        <w:rPr>
          <w:rFonts w:ascii="Times New Roman" w:hAnsi="Times New Roman" w:cs="Times New Roman"/>
          <w:sz w:val="24"/>
          <w:szCs w:val="24"/>
        </w:rPr>
        <w:t>for example, but not limited to:</w:t>
      </w:r>
      <w:r w:rsidRPr="1AFBC361">
        <w:rPr>
          <w:rFonts w:ascii="Times New Roman" w:hAnsi="Times New Roman" w:cs="Times New Roman"/>
          <w:sz w:val="24"/>
          <w:szCs w:val="24"/>
        </w:rPr>
        <w:t xml:space="preserve"> excess-of-loss, quota share, stop-loss). This should incorporate findings from the risk-based tariff calculations and solvency assessment previously developed for the insurance program, while also considering the future strategic direction and growth trajectory of the scheme.</w:t>
      </w:r>
    </w:p>
    <w:p w14:paraId="26E18915" w14:textId="77777777" w:rsidR="00D52BAC" w:rsidRPr="00464B98" w:rsidRDefault="00D52BAC" w:rsidP="00D52BAC">
      <w:pPr>
        <w:pStyle w:val="ad"/>
        <w:numPr>
          <w:ilvl w:val="0"/>
          <w:numId w:val="7"/>
        </w:numPr>
        <w:pBdr>
          <w:top w:val="nil"/>
          <w:left w:val="nil"/>
          <w:bottom w:val="nil"/>
          <w:right w:val="nil"/>
          <w:between w:val="nil"/>
        </w:pBdr>
        <w:spacing w:after="120"/>
        <w:jc w:val="both"/>
        <w:rPr>
          <w:rFonts w:ascii="Times New Roman" w:hAnsi="Times New Roman" w:cs="Times New Roman"/>
          <w:sz w:val="24"/>
          <w:szCs w:val="24"/>
        </w:rPr>
      </w:pPr>
      <w:r w:rsidRPr="00464B98">
        <w:rPr>
          <w:rFonts w:ascii="Times New Roman" w:hAnsi="Times New Roman" w:cs="Times New Roman"/>
          <w:sz w:val="24"/>
          <w:szCs w:val="24"/>
        </w:rPr>
        <w:t>Define retention levels based on updated solvency capital requirements (e.g., 1-in-100-year event) and affordability thresholds, ensuring consistency with the SIO's evolving capital base.</w:t>
      </w:r>
    </w:p>
    <w:p w14:paraId="3554AFCA" w14:textId="77777777" w:rsidR="00D52BAC" w:rsidRPr="00464B98" w:rsidRDefault="00D52BAC" w:rsidP="00D52BAC">
      <w:pPr>
        <w:pStyle w:val="ad"/>
        <w:numPr>
          <w:ilvl w:val="0"/>
          <w:numId w:val="7"/>
        </w:numPr>
        <w:pBdr>
          <w:top w:val="nil"/>
          <w:left w:val="nil"/>
          <w:bottom w:val="nil"/>
          <w:right w:val="nil"/>
          <w:between w:val="nil"/>
        </w:pBdr>
        <w:spacing w:after="120"/>
        <w:jc w:val="both"/>
        <w:rPr>
          <w:rFonts w:ascii="Times New Roman" w:hAnsi="Times New Roman" w:cs="Times New Roman"/>
          <w:sz w:val="24"/>
          <w:szCs w:val="24"/>
        </w:rPr>
      </w:pPr>
      <w:r w:rsidRPr="00464B98">
        <w:rPr>
          <w:rFonts w:ascii="Times New Roman" w:hAnsi="Times New Roman" w:cs="Times New Roman"/>
          <w:sz w:val="24"/>
          <w:szCs w:val="24"/>
        </w:rPr>
        <w:t>Clearly define the strategic rationale for pursuing reinsurance, including how it addresses capital adequacy gaps, stabilizes financial outflows during extreme loss events, and reduces dependence on government transfers or ad hoc fiscal interventions.</w:t>
      </w:r>
    </w:p>
    <w:p w14:paraId="6A086A4A" w14:textId="74688B4A" w:rsidR="00E14744" w:rsidRPr="00464B98" w:rsidRDefault="00D52BAC" w:rsidP="00D52BAC">
      <w:pPr>
        <w:pStyle w:val="ad"/>
        <w:numPr>
          <w:ilvl w:val="0"/>
          <w:numId w:val="7"/>
        </w:numPr>
        <w:pBdr>
          <w:top w:val="nil"/>
          <w:left w:val="nil"/>
          <w:bottom w:val="nil"/>
          <w:right w:val="nil"/>
          <w:between w:val="nil"/>
        </w:pBdr>
        <w:spacing w:after="120"/>
        <w:jc w:val="both"/>
        <w:rPr>
          <w:rFonts w:ascii="Times New Roman" w:hAnsi="Times New Roman" w:cs="Times New Roman"/>
          <w:sz w:val="24"/>
          <w:szCs w:val="24"/>
        </w:rPr>
      </w:pPr>
      <w:r w:rsidRPr="00464B98">
        <w:rPr>
          <w:rFonts w:ascii="Times New Roman" w:hAnsi="Times New Roman" w:cs="Times New Roman"/>
          <w:sz w:val="24"/>
          <w:szCs w:val="24"/>
        </w:rPr>
        <w:lastRenderedPageBreak/>
        <w:t xml:space="preserve">Prepare reinsurance strategy options, each with quantified financial implications for SIO, including premium costs, expected capital relief, retained versus transferred risk metrics, and a detailed assessment of the fiscal exposure to the state under each option. This should include consideration of whether a government guarantee is explicitly or implicitly required, and how such exposure could be structured, limited, or phased over time. </w:t>
      </w:r>
    </w:p>
    <w:p w14:paraId="259E258D" w14:textId="77777777" w:rsidR="00FF34D5" w:rsidRPr="00464B98" w:rsidRDefault="00FF34D5" w:rsidP="00FF34D5">
      <w:pPr>
        <w:pStyle w:val="ad"/>
        <w:pBdr>
          <w:top w:val="nil"/>
          <w:left w:val="nil"/>
          <w:bottom w:val="nil"/>
          <w:right w:val="nil"/>
          <w:between w:val="nil"/>
        </w:pBdr>
        <w:spacing w:after="120"/>
        <w:jc w:val="both"/>
        <w:rPr>
          <w:rFonts w:ascii="Times New Roman" w:hAnsi="Times New Roman" w:cs="Times New Roman"/>
          <w:sz w:val="24"/>
          <w:szCs w:val="24"/>
        </w:rPr>
      </w:pPr>
    </w:p>
    <w:p w14:paraId="06EFB4D3" w14:textId="6A65748C" w:rsidR="00E14744" w:rsidRPr="00464B98" w:rsidRDefault="00D52BAC" w:rsidP="00B048E4">
      <w:pPr>
        <w:pStyle w:val="ad"/>
        <w:numPr>
          <w:ilvl w:val="0"/>
          <w:numId w:val="5"/>
        </w:numPr>
        <w:pBdr>
          <w:top w:val="nil"/>
          <w:left w:val="nil"/>
          <w:bottom w:val="nil"/>
          <w:right w:val="nil"/>
          <w:between w:val="nil"/>
        </w:pBdr>
        <w:spacing w:after="120"/>
        <w:ind w:left="426" w:hanging="284"/>
        <w:jc w:val="both"/>
        <w:rPr>
          <w:rFonts w:ascii="Times New Roman" w:hAnsi="Times New Roman" w:cs="Times New Roman"/>
          <w:b/>
          <w:bCs/>
          <w:sz w:val="24"/>
          <w:szCs w:val="24"/>
        </w:rPr>
      </w:pPr>
      <w:r w:rsidRPr="00464B98">
        <w:rPr>
          <w:rFonts w:ascii="Times New Roman" w:hAnsi="Times New Roman" w:cs="Times New Roman"/>
          <w:b/>
          <w:bCs/>
          <w:sz w:val="24"/>
          <w:szCs w:val="24"/>
        </w:rPr>
        <w:t>Market Engagement</w:t>
      </w:r>
    </w:p>
    <w:p w14:paraId="4CCFB70D" w14:textId="3DE94DBD" w:rsidR="00FF34D5" w:rsidRPr="00464B98" w:rsidRDefault="00D52BAC" w:rsidP="1AFBC361">
      <w:pPr>
        <w:pStyle w:val="ad"/>
        <w:pBdr>
          <w:top w:val="nil"/>
          <w:left w:val="nil"/>
          <w:bottom w:val="nil"/>
          <w:right w:val="nil"/>
          <w:between w:val="nil"/>
        </w:pBdr>
        <w:spacing w:after="120"/>
        <w:ind w:left="142"/>
        <w:jc w:val="both"/>
        <w:rPr>
          <w:rFonts w:ascii="Times New Roman" w:hAnsi="Times New Roman" w:cs="Times New Roman"/>
          <w:sz w:val="24"/>
          <w:szCs w:val="24"/>
        </w:rPr>
      </w:pPr>
      <w:r w:rsidRPr="1AFBC361">
        <w:rPr>
          <w:rFonts w:ascii="Times New Roman" w:hAnsi="Times New Roman" w:cs="Times New Roman"/>
          <w:sz w:val="24"/>
          <w:szCs w:val="24"/>
        </w:rPr>
        <w:t xml:space="preserve">As part of this stage, the Consultant will ensure that the compulsory insurance </w:t>
      </w:r>
      <w:r w:rsidR="2E625A1F" w:rsidRPr="1AFBC361">
        <w:rPr>
          <w:rFonts w:ascii="Times New Roman" w:hAnsi="Times New Roman" w:cs="Times New Roman"/>
          <w:sz w:val="24"/>
          <w:szCs w:val="24"/>
        </w:rPr>
        <w:t xml:space="preserve">program </w:t>
      </w:r>
      <w:r w:rsidRPr="1AFBC361">
        <w:rPr>
          <w:rFonts w:ascii="Times New Roman" w:hAnsi="Times New Roman" w:cs="Times New Roman"/>
          <w:sz w:val="24"/>
          <w:szCs w:val="24"/>
        </w:rPr>
        <w:t>is prepared to engage with the international reinsurance market, including:</w:t>
      </w:r>
    </w:p>
    <w:p w14:paraId="1D764E74" w14:textId="77777777" w:rsidR="00FF34D5" w:rsidRPr="00464B98" w:rsidRDefault="00FF34D5" w:rsidP="00FF34D5">
      <w:pPr>
        <w:pStyle w:val="ad"/>
        <w:pBdr>
          <w:top w:val="nil"/>
          <w:left w:val="nil"/>
          <w:bottom w:val="nil"/>
          <w:right w:val="nil"/>
          <w:between w:val="nil"/>
        </w:pBdr>
        <w:spacing w:after="120"/>
        <w:ind w:left="426"/>
        <w:jc w:val="both"/>
        <w:rPr>
          <w:rFonts w:ascii="Times New Roman" w:hAnsi="Times New Roman" w:cs="Times New Roman"/>
          <w:sz w:val="24"/>
          <w:szCs w:val="24"/>
        </w:rPr>
      </w:pPr>
    </w:p>
    <w:p w14:paraId="32A1E92F" w14:textId="77777777" w:rsidR="00D52BAC" w:rsidRPr="00464B98" w:rsidRDefault="00D52BAC" w:rsidP="00D52BAC">
      <w:pPr>
        <w:pStyle w:val="ad"/>
        <w:numPr>
          <w:ilvl w:val="0"/>
          <w:numId w:val="8"/>
        </w:numPr>
        <w:pBdr>
          <w:top w:val="nil"/>
          <w:left w:val="nil"/>
          <w:bottom w:val="nil"/>
          <w:right w:val="nil"/>
          <w:between w:val="nil"/>
        </w:pBdr>
        <w:spacing w:after="120"/>
        <w:jc w:val="both"/>
        <w:rPr>
          <w:rFonts w:ascii="Times New Roman" w:hAnsi="Times New Roman" w:cs="Times New Roman"/>
          <w:sz w:val="24"/>
          <w:szCs w:val="24"/>
        </w:rPr>
      </w:pPr>
      <w:r w:rsidRPr="00464B98">
        <w:rPr>
          <w:rFonts w:ascii="Times New Roman" w:hAnsi="Times New Roman" w:cs="Times New Roman"/>
          <w:sz w:val="24"/>
          <w:szCs w:val="24"/>
        </w:rPr>
        <w:t>Identify and liaise with international brokers, reinsurers, and other relevant partners active in the region (e.g., the Turkish Catastrophe Insurance Pool (TCIP) or regional risk-sharing initiatives), as well as private market reinsurers to better understand the market landscape, market appetite and indicative pricing.</w:t>
      </w:r>
    </w:p>
    <w:p w14:paraId="087B9010" w14:textId="77777777" w:rsidR="00D52BAC" w:rsidRPr="00464B98" w:rsidRDefault="00D52BAC" w:rsidP="00D52BAC">
      <w:pPr>
        <w:pStyle w:val="ad"/>
        <w:numPr>
          <w:ilvl w:val="0"/>
          <w:numId w:val="8"/>
        </w:numPr>
        <w:pBdr>
          <w:top w:val="nil"/>
          <w:left w:val="nil"/>
          <w:bottom w:val="nil"/>
          <w:right w:val="nil"/>
          <w:between w:val="nil"/>
        </w:pBdr>
        <w:spacing w:after="120"/>
        <w:jc w:val="both"/>
        <w:rPr>
          <w:rFonts w:ascii="Times New Roman" w:hAnsi="Times New Roman" w:cs="Times New Roman"/>
          <w:sz w:val="24"/>
          <w:szCs w:val="24"/>
        </w:rPr>
      </w:pPr>
      <w:r w:rsidRPr="00464B98">
        <w:rPr>
          <w:rFonts w:ascii="Times New Roman" w:hAnsi="Times New Roman" w:cs="Times New Roman"/>
          <w:sz w:val="24"/>
          <w:szCs w:val="24"/>
        </w:rPr>
        <w:t>Prepare a reinsurance information pack, developed in close coordination with interested reinsurers or brokers, that includes the technical data and documentation typically required for underwriting and pricing purposes. This should go beyond basic marketing content to include exposure profiles, catastrophe model outputs, historical loss experience, claims protocols, risk mitigation efforts, and capital adequacy information. The objective is to ensure that the material meets international market standards and is co-designed to reflect reinsurer needs and preferences.</w:t>
      </w:r>
    </w:p>
    <w:p w14:paraId="0862961E" w14:textId="20098A75" w:rsidR="00067F35" w:rsidRPr="00464B98" w:rsidRDefault="00D52BAC" w:rsidP="00D52BAC">
      <w:pPr>
        <w:pStyle w:val="ad"/>
        <w:numPr>
          <w:ilvl w:val="0"/>
          <w:numId w:val="8"/>
        </w:numPr>
        <w:pBdr>
          <w:top w:val="nil"/>
          <w:left w:val="nil"/>
          <w:bottom w:val="nil"/>
          <w:right w:val="nil"/>
          <w:between w:val="nil"/>
        </w:pBdr>
        <w:spacing w:after="120"/>
        <w:jc w:val="both"/>
        <w:rPr>
          <w:rFonts w:ascii="Times New Roman" w:hAnsi="Times New Roman" w:cs="Times New Roman"/>
          <w:sz w:val="24"/>
          <w:szCs w:val="24"/>
        </w:rPr>
      </w:pPr>
      <w:r w:rsidRPr="00464B98">
        <w:rPr>
          <w:rFonts w:ascii="Times New Roman" w:hAnsi="Times New Roman" w:cs="Times New Roman"/>
          <w:sz w:val="24"/>
          <w:szCs w:val="24"/>
        </w:rPr>
        <w:t>Recommend procurement and contracting approaches aligned with good practices in sovereign reinsurance purchases, building directly on the strategic objectives and market intelligence gathered in earlier stages of the assignment. These recommendations should be tailored to the operational context and maturity of the SIO, and reflect feedback received from reinsurers and brokers during engagement activities, ensuring consistency between the reinsurance design, market outreach, and eventual procurement process.</w:t>
      </w:r>
    </w:p>
    <w:p w14:paraId="08532BBB" w14:textId="77777777" w:rsidR="00FF34D5" w:rsidRPr="00464B98" w:rsidRDefault="00FF34D5" w:rsidP="00FF34D5">
      <w:pPr>
        <w:pStyle w:val="ad"/>
        <w:pBdr>
          <w:top w:val="nil"/>
          <w:left w:val="nil"/>
          <w:bottom w:val="nil"/>
          <w:right w:val="nil"/>
          <w:between w:val="nil"/>
        </w:pBdr>
        <w:spacing w:after="120"/>
        <w:jc w:val="both"/>
        <w:rPr>
          <w:rFonts w:ascii="Times New Roman" w:hAnsi="Times New Roman" w:cs="Times New Roman"/>
          <w:sz w:val="24"/>
          <w:szCs w:val="24"/>
        </w:rPr>
      </w:pPr>
    </w:p>
    <w:p w14:paraId="425E1F30" w14:textId="76EB19CD" w:rsidR="00E14744" w:rsidRPr="00464B98" w:rsidRDefault="00D52BAC" w:rsidP="00B048E4">
      <w:pPr>
        <w:pStyle w:val="ad"/>
        <w:numPr>
          <w:ilvl w:val="0"/>
          <w:numId w:val="5"/>
        </w:numPr>
        <w:pBdr>
          <w:top w:val="nil"/>
          <w:left w:val="nil"/>
          <w:bottom w:val="nil"/>
          <w:right w:val="nil"/>
          <w:between w:val="nil"/>
        </w:pBdr>
        <w:spacing w:after="120"/>
        <w:ind w:left="567" w:hanging="283"/>
        <w:jc w:val="both"/>
        <w:rPr>
          <w:rFonts w:ascii="Times New Roman" w:hAnsi="Times New Roman" w:cs="Times New Roman"/>
          <w:b/>
          <w:bCs/>
          <w:sz w:val="24"/>
          <w:szCs w:val="24"/>
        </w:rPr>
      </w:pPr>
      <w:r w:rsidRPr="00464B98">
        <w:rPr>
          <w:rFonts w:ascii="Times New Roman" w:hAnsi="Times New Roman" w:cs="Times New Roman"/>
          <w:b/>
          <w:bCs/>
          <w:sz w:val="24"/>
          <w:szCs w:val="24"/>
        </w:rPr>
        <w:t>Operational Readiness and Implementation Plan</w:t>
      </w:r>
    </w:p>
    <w:p w14:paraId="5FA35D09" w14:textId="7D7D548E" w:rsidR="00FF34D5" w:rsidRPr="00464B98" w:rsidRDefault="00D52BAC" w:rsidP="00301339">
      <w:pPr>
        <w:pBdr>
          <w:top w:val="nil"/>
          <w:left w:val="nil"/>
          <w:bottom w:val="nil"/>
          <w:right w:val="nil"/>
          <w:between w:val="nil"/>
        </w:pBdr>
        <w:spacing w:after="120"/>
        <w:ind w:left="284"/>
        <w:jc w:val="both"/>
      </w:pPr>
      <w:r w:rsidRPr="00464B98">
        <w:t>At the final stage, the Consultant will develop practical mechanisms for implementing the reinsurance strategy, including:</w:t>
      </w:r>
    </w:p>
    <w:p w14:paraId="02AEA349" w14:textId="77777777" w:rsidR="00FF34D5" w:rsidRPr="00464B98" w:rsidRDefault="00FF34D5" w:rsidP="00FF34D5">
      <w:pPr>
        <w:pStyle w:val="ad"/>
        <w:pBdr>
          <w:top w:val="nil"/>
          <w:left w:val="nil"/>
          <w:bottom w:val="nil"/>
          <w:right w:val="nil"/>
          <w:between w:val="nil"/>
        </w:pBdr>
        <w:spacing w:after="120"/>
        <w:ind w:left="567"/>
        <w:jc w:val="both"/>
        <w:rPr>
          <w:rFonts w:ascii="Times New Roman" w:hAnsi="Times New Roman" w:cs="Times New Roman"/>
          <w:sz w:val="24"/>
          <w:szCs w:val="24"/>
        </w:rPr>
      </w:pPr>
    </w:p>
    <w:p w14:paraId="3115B98E" w14:textId="7D0BAE57" w:rsidR="00D52BAC" w:rsidRPr="00464B98" w:rsidRDefault="00D52BAC" w:rsidP="1AFBC361">
      <w:pPr>
        <w:pStyle w:val="ad"/>
        <w:numPr>
          <w:ilvl w:val="0"/>
          <w:numId w:val="9"/>
        </w:numPr>
        <w:pBdr>
          <w:top w:val="nil"/>
          <w:left w:val="nil"/>
          <w:bottom w:val="nil"/>
          <w:right w:val="nil"/>
          <w:between w:val="nil"/>
        </w:pBdr>
        <w:spacing w:after="120"/>
        <w:jc w:val="both"/>
        <w:rPr>
          <w:rFonts w:ascii="Times New Roman" w:hAnsi="Times New Roman" w:cs="Times New Roman"/>
          <w:sz w:val="24"/>
          <w:szCs w:val="24"/>
        </w:rPr>
      </w:pPr>
      <w:r w:rsidRPr="1AFBC361">
        <w:rPr>
          <w:rFonts w:ascii="Times New Roman" w:hAnsi="Times New Roman" w:cs="Times New Roman"/>
          <w:sz w:val="24"/>
          <w:szCs w:val="24"/>
        </w:rPr>
        <w:t xml:space="preserve">Propose institutional arrangements </w:t>
      </w:r>
      <w:r w:rsidR="7CCB4EAF" w:rsidRPr="1AFBC361">
        <w:rPr>
          <w:rFonts w:ascii="Times New Roman" w:hAnsi="Times New Roman" w:cs="Times New Roman"/>
          <w:sz w:val="24"/>
          <w:szCs w:val="24"/>
        </w:rPr>
        <w:t xml:space="preserve">and capacity requirements </w:t>
      </w:r>
      <w:r w:rsidRPr="1AFBC361">
        <w:rPr>
          <w:rFonts w:ascii="Times New Roman" w:hAnsi="Times New Roman" w:cs="Times New Roman"/>
          <w:sz w:val="24"/>
          <w:szCs w:val="24"/>
        </w:rPr>
        <w:t>for annual reinsurance renewal, including pricing negotiations, contract management, and performance review.</w:t>
      </w:r>
    </w:p>
    <w:p w14:paraId="01BDF331" w14:textId="7A741151" w:rsidR="00FA795B" w:rsidRPr="00464B98" w:rsidRDefault="00D52BAC" w:rsidP="00D52BAC">
      <w:pPr>
        <w:pStyle w:val="ad"/>
        <w:numPr>
          <w:ilvl w:val="0"/>
          <w:numId w:val="9"/>
        </w:numPr>
        <w:pBdr>
          <w:top w:val="nil"/>
          <w:left w:val="nil"/>
          <w:bottom w:val="nil"/>
          <w:right w:val="nil"/>
          <w:between w:val="nil"/>
        </w:pBdr>
        <w:spacing w:after="120"/>
        <w:jc w:val="both"/>
        <w:rPr>
          <w:rFonts w:ascii="Times New Roman" w:hAnsi="Times New Roman" w:cs="Times New Roman"/>
          <w:sz w:val="24"/>
          <w:szCs w:val="24"/>
        </w:rPr>
      </w:pPr>
      <w:r w:rsidRPr="00464B98">
        <w:rPr>
          <w:rFonts w:ascii="Times New Roman" w:hAnsi="Times New Roman" w:cs="Times New Roman"/>
          <w:sz w:val="24"/>
          <w:szCs w:val="24"/>
        </w:rPr>
        <w:t>Prepare a time-bound implementation roadmap that consolidates the outputs from prior phases and translates them into actionable next steps. This should include clearly defined preconditions for market testing, required financial analysis, internal approvals, and any necessary Know Your Customer (KYC) or onboarding requirements set by reinsurers. The roadmap should also ensure alignment with the risk layering strategy, selected reinsurance model, and market engagement outcomes to support a seamless transition from planning to execution.</w:t>
      </w:r>
    </w:p>
    <w:p w14:paraId="1956B27F" w14:textId="77777777" w:rsidR="00FF34D5" w:rsidRPr="00464B98" w:rsidRDefault="00FF34D5" w:rsidP="00FF34D5">
      <w:pPr>
        <w:pStyle w:val="ad"/>
        <w:pBdr>
          <w:top w:val="nil"/>
          <w:left w:val="nil"/>
          <w:bottom w:val="nil"/>
          <w:right w:val="nil"/>
          <w:between w:val="nil"/>
        </w:pBdr>
        <w:spacing w:after="120"/>
        <w:jc w:val="both"/>
        <w:rPr>
          <w:rFonts w:ascii="Times New Roman" w:hAnsi="Times New Roman" w:cs="Times New Roman"/>
          <w:sz w:val="24"/>
          <w:szCs w:val="24"/>
        </w:rPr>
      </w:pPr>
    </w:p>
    <w:p w14:paraId="461AA741" w14:textId="3986AE32" w:rsidR="00E31D8A" w:rsidRPr="00464B98" w:rsidRDefault="003F51BE" w:rsidP="00B048E4">
      <w:pPr>
        <w:numPr>
          <w:ilvl w:val="0"/>
          <w:numId w:val="2"/>
        </w:numPr>
        <w:pBdr>
          <w:top w:val="nil"/>
          <w:left w:val="nil"/>
          <w:bottom w:val="nil"/>
          <w:right w:val="nil"/>
          <w:between w:val="nil"/>
        </w:pBdr>
        <w:tabs>
          <w:tab w:val="left" w:pos="426"/>
        </w:tabs>
        <w:spacing w:after="120"/>
        <w:rPr>
          <w:b/>
          <w:color w:val="000000"/>
        </w:rPr>
      </w:pPr>
      <w:bookmarkStart w:id="2" w:name="_heading=h.1t3h5sf" w:colFirst="0" w:colLast="0"/>
      <w:bookmarkEnd w:id="2"/>
      <w:r w:rsidRPr="00464B98">
        <w:rPr>
          <w:b/>
          <w:color w:val="000000"/>
        </w:rPr>
        <w:t>REPORTING AND APPROVAL PROCEDURES</w:t>
      </w:r>
    </w:p>
    <w:p w14:paraId="3B5A325B" w14:textId="338A8B61" w:rsidR="00E31D8A" w:rsidRPr="00464B98" w:rsidRDefault="003F51BE" w:rsidP="007C63BA">
      <w:pPr>
        <w:pBdr>
          <w:top w:val="nil"/>
          <w:left w:val="nil"/>
          <w:bottom w:val="nil"/>
          <w:right w:val="nil"/>
          <w:between w:val="nil"/>
        </w:pBdr>
        <w:spacing w:after="120"/>
        <w:jc w:val="center"/>
        <w:rPr>
          <w:b/>
          <w:color w:val="000000"/>
        </w:rPr>
      </w:pPr>
      <w:r w:rsidRPr="00464B98">
        <w:rPr>
          <w:b/>
          <w:color w:val="000000"/>
        </w:rPr>
        <w:t>Table</w:t>
      </w:r>
      <w:r w:rsidR="00186A81" w:rsidRPr="00464B98">
        <w:rPr>
          <w:b/>
          <w:color w:val="000000"/>
        </w:rPr>
        <w:t xml:space="preserve"> 1: </w:t>
      </w:r>
      <w:r w:rsidRPr="00464B98">
        <w:rPr>
          <w:b/>
          <w:color w:val="000000"/>
        </w:rPr>
        <w:t>Deliverables and timeline</w:t>
      </w:r>
    </w:p>
    <w:tbl>
      <w:tblPr>
        <w:tblStyle w:val="affc"/>
        <w:tblW w:w="9133" w:type="dxa"/>
        <w:tblInd w:w="2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329"/>
        <w:gridCol w:w="6804"/>
      </w:tblGrid>
      <w:tr w:rsidR="00E31D8A" w:rsidRPr="00464B98" w14:paraId="3DDE7626" w14:textId="77777777" w:rsidTr="005E5389">
        <w:trPr>
          <w:trHeight w:val="176"/>
        </w:trPr>
        <w:tc>
          <w:tcPr>
            <w:tcW w:w="23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BB50B4" w14:textId="219A7E4A" w:rsidR="00E31D8A" w:rsidRPr="00464B98" w:rsidRDefault="003F51BE" w:rsidP="007C63BA">
            <w:pPr>
              <w:pBdr>
                <w:top w:val="nil"/>
                <w:left w:val="nil"/>
                <w:bottom w:val="nil"/>
                <w:right w:val="nil"/>
                <w:between w:val="nil"/>
              </w:pBdr>
              <w:spacing w:after="120"/>
              <w:jc w:val="center"/>
              <w:rPr>
                <w:color w:val="000000"/>
              </w:rPr>
            </w:pPr>
            <w:r w:rsidRPr="00464B98">
              <w:rPr>
                <w:b/>
                <w:color w:val="000000"/>
              </w:rPr>
              <w:t>Phase</w:t>
            </w:r>
            <w:r w:rsidR="00186A81" w:rsidRPr="00464B98">
              <w:rPr>
                <w:b/>
                <w:color w:val="000000"/>
              </w:rPr>
              <w:t xml:space="preserve"> </w:t>
            </w:r>
          </w:p>
        </w:tc>
        <w:tc>
          <w:tcPr>
            <w:tcW w:w="6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13E900" w14:textId="080C5E96" w:rsidR="00E31D8A" w:rsidRPr="00464B98" w:rsidRDefault="003F51BE" w:rsidP="007C63BA">
            <w:pPr>
              <w:pBdr>
                <w:top w:val="nil"/>
                <w:left w:val="nil"/>
                <w:bottom w:val="nil"/>
                <w:right w:val="nil"/>
                <w:between w:val="nil"/>
              </w:pBdr>
              <w:spacing w:after="120"/>
              <w:jc w:val="center"/>
              <w:rPr>
                <w:color w:val="000000"/>
              </w:rPr>
            </w:pPr>
            <w:r w:rsidRPr="00464B98">
              <w:rPr>
                <w:b/>
                <w:color w:val="000000"/>
              </w:rPr>
              <w:t>Deliverables</w:t>
            </w:r>
          </w:p>
        </w:tc>
      </w:tr>
      <w:tr w:rsidR="00E31D8A" w:rsidRPr="00464B98" w14:paraId="7F3E5646" w14:textId="77777777" w:rsidTr="005E5389">
        <w:trPr>
          <w:trHeight w:val="518"/>
        </w:trPr>
        <w:tc>
          <w:tcPr>
            <w:tcW w:w="23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675EC8" w14:textId="5D021396" w:rsidR="003F51BE" w:rsidRPr="00464B98" w:rsidRDefault="003F51BE" w:rsidP="003F51BE">
            <w:pPr>
              <w:pBdr>
                <w:top w:val="nil"/>
                <w:left w:val="nil"/>
                <w:bottom w:val="nil"/>
                <w:right w:val="nil"/>
                <w:between w:val="nil"/>
              </w:pBdr>
              <w:spacing w:after="120"/>
              <w:rPr>
                <w:b/>
                <w:bCs/>
                <w:color w:val="000000"/>
              </w:rPr>
            </w:pPr>
            <w:r w:rsidRPr="00464B98">
              <w:rPr>
                <w:b/>
                <w:bCs/>
                <w:color w:val="000000"/>
              </w:rPr>
              <w:lastRenderedPageBreak/>
              <w:t>Stage 1. Review of Current Reinsurance Practices and Institutional Environment</w:t>
            </w:r>
          </w:p>
        </w:tc>
        <w:tc>
          <w:tcPr>
            <w:tcW w:w="6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F309AE" w14:textId="77777777" w:rsidR="006B6F11" w:rsidRPr="00464B98" w:rsidRDefault="006B6F11" w:rsidP="006B6F11">
            <w:pPr>
              <w:pStyle w:val="afff1"/>
            </w:pPr>
            <w:r w:rsidRPr="00464B98">
              <w:rPr>
                <w:b/>
                <w:bCs/>
              </w:rPr>
              <w:t>Report No. 1:</w:t>
            </w:r>
          </w:p>
          <w:p w14:paraId="0AABE35E" w14:textId="514D3EAD" w:rsidR="00E31D8A" w:rsidRPr="00464B98" w:rsidRDefault="006B6F11" w:rsidP="006B6F11">
            <w:pPr>
              <w:pStyle w:val="afff1"/>
            </w:pPr>
            <w:r w:rsidRPr="00464B98">
              <w:t>● Comparative analysis of 2-3 options for the structure of outward reinsurance, including a preliminary assessment of the financial implications and fiscal risks</w:t>
            </w:r>
          </w:p>
        </w:tc>
      </w:tr>
      <w:tr w:rsidR="00E31D8A" w:rsidRPr="00464B98" w14:paraId="635BBE1A" w14:textId="77777777" w:rsidTr="005E5389">
        <w:trPr>
          <w:trHeight w:val="526"/>
        </w:trPr>
        <w:tc>
          <w:tcPr>
            <w:tcW w:w="23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48F4FB" w14:textId="7F8AC0D1" w:rsidR="003F51BE" w:rsidRPr="00464B98" w:rsidRDefault="003F51BE" w:rsidP="003F51BE">
            <w:pPr>
              <w:pBdr>
                <w:top w:val="nil"/>
                <w:left w:val="nil"/>
                <w:bottom w:val="nil"/>
                <w:right w:val="nil"/>
                <w:between w:val="nil"/>
              </w:pBdr>
              <w:spacing w:after="120"/>
              <w:rPr>
                <w:color w:val="000000"/>
              </w:rPr>
            </w:pPr>
            <w:r w:rsidRPr="00464B98">
              <w:rPr>
                <w:b/>
                <w:color w:val="000000"/>
              </w:rPr>
              <w:t>Stage 2. Development of Outward Reinsurance Strategy</w:t>
            </w:r>
          </w:p>
        </w:tc>
        <w:tc>
          <w:tcPr>
            <w:tcW w:w="6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DDB6DC" w14:textId="77777777" w:rsidR="006B6F11" w:rsidRPr="00464B98" w:rsidRDefault="006B6F11" w:rsidP="006B6F11">
            <w:pPr>
              <w:pStyle w:val="afff1"/>
            </w:pPr>
            <w:r w:rsidRPr="00464B98">
              <w:rPr>
                <w:b/>
                <w:bCs/>
              </w:rPr>
              <w:t>Report No. 2:</w:t>
            </w:r>
          </w:p>
          <w:p w14:paraId="3999FBC0" w14:textId="72006A63" w:rsidR="00E31D8A" w:rsidRPr="00464B98" w:rsidRDefault="006B6F11" w:rsidP="006B6F11">
            <w:pPr>
              <w:pStyle w:val="afff1"/>
            </w:pPr>
            <w:r w:rsidRPr="00464B98">
              <w:t>● Draft comprehensive strategy, including cost-benefit analysis, retention levels, risk allocation, and institutional mechanisms.</w:t>
            </w:r>
          </w:p>
        </w:tc>
      </w:tr>
      <w:tr w:rsidR="00E31D8A" w:rsidRPr="00464B98" w14:paraId="0CC09DDF" w14:textId="77777777" w:rsidTr="005E5389">
        <w:trPr>
          <w:trHeight w:val="537"/>
        </w:trPr>
        <w:tc>
          <w:tcPr>
            <w:tcW w:w="23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953C7C" w14:textId="4A0862D4" w:rsidR="003F51BE" w:rsidRPr="00464B98" w:rsidRDefault="003F51BE" w:rsidP="003F51BE">
            <w:pPr>
              <w:pBdr>
                <w:top w:val="nil"/>
                <w:left w:val="nil"/>
                <w:bottom w:val="nil"/>
                <w:right w:val="nil"/>
                <w:between w:val="nil"/>
              </w:pBdr>
              <w:spacing w:after="120"/>
              <w:rPr>
                <w:color w:val="000000"/>
              </w:rPr>
            </w:pPr>
            <w:r w:rsidRPr="00464B98">
              <w:rPr>
                <w:b/>
                <w:color w:val="000000"/>
              </w:rPr>
              <w:t>Stage 3. Market Engagement</w:t>
            </w:r>
          </w:p>
        </w:tc>
        <w:tc>
          <w:tcPr>
            <w:tcW w:w="6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97D702" w14:textId="77777777" w:rsidR="006B6F11" w:rsidRPr="00464B98" w:rsidRDefault="006B6F11" w:rsidP="006B6F11">
            <w:pPr>
              <w:pStyle w:val="afff1"/>
            </w:pPr>
            <w:r w:rsidRPr="00464B98">
              <w:rPr>
                <w:b/>
                <w:bCs/>
              </w:rPr>
              <w:t>Report No. 3:</w:t>
            </w:r>
          </w:p>
          <w:p w14:paraId="4E401DB6" w14:textId="5A3D0445" w:rsidR="00E31D8A" w:rsidRPr="00464B98" w:rsidRDefault="006B6F11" w:rsidP="006B6F11">
            <w:pPr>
              <w:pStyle w:val="afff1"/>
            </w:pPr>
            <w:r w:rsidRPr="00464B98">
              <w:t>● A package of materials for market engagement. Information and technical materials for brokers and reinsurers, prepared in accordance with international practice.</w:t>
            </w:r>
          </w:p>
        </w:tc>
      </w:tr>
      <w:tr w:rsidR="00E31D8A" w:rsidRPr="00464B98" w14:paraId="1A9815C7" w14:textId="77777777" w:rsidTr="005E5389">
        <w:trPr>
          <w:trHeight w:val="405"/>
        </w:trPr>
        <w:tc>
          <w:tcPr>
            <w:tcW w:w="23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7523D1" w14:textId="4B349D1C" w:rsidR="003F51BE" w:rsidRPr="00464B98" w:rsidRDefault="003F51BE" w:rsidP="003F51BE">
            <w:pPr>
              <w:pBdr>
                <w:top w:val="nil"/>
                <w:left w:val="nil"/>
                <w:bottom w:val="nil"/>
                <w:right w:val="nil"/>
                <w:between w:val="nil"/>
              </w:pBdr>
              <w:spacing w:after="120"/>
              <w:rPr>
                <w:color w:val="000000"/>
              </w:rPr>
            </w:pPr>
            <w:r w:rsidRPr="00464B98">
              <w:rPr>
                <w:b/>
                <w:color w:val="000000"/>
              </w:rPr>
              <w:t>Stage 4. Operational Readiness and Implementation Plan</w:t>
            </w:r>
          </w:p>
        </w:tc>
        <w:tc>
          <w:tcPr>
            <w:tcW w:w="6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C485BB" w14:textId="77777777" w:rsidR="003F51BE" w:rsidRPr="00464B98" w:rsidRDefault="003F51BE" w:rsidP="003F51BE">
            <w:pPr>
              <w:pStyle w:val="afff1"/>
            </w:pPr>
            <w:r w:rsidRPr="00464B98">
              <w:rPr>
                <w:b/>
                <w:bCs/>
              </w:rPr>
              <w:t>Report No. 4:</w:t>
            </w:r>
          </w:p>
          <w:p w14:paraId="4F37612F" w14:textId="314E5AE0" w:rsidR="00E31D8A" w:rsidRPr="00464B98" w:rsidRDefault="003F51BE" w:rsidP="006B6F11">
            <w:pPr>
              <w:pStyle w:val="afff1"/>
            </w:pPr>
            <w:r w:rsidRPr="00464B98">
              <w:t>● Final report incorporating the Client's comments, including a phased roadmap for strategy implementation.</w:t>
            </w:r>
          </w:p>
        </w:tc>
      </w:tr>
    </w:tbl>
    <w:p w14:paraId="2A4A78F2" w14:textId="2002C393" w:rsidR="00E31D8A" w:rsidRPr="00464B98" w:rsidRDefault="00E31D8A" w:rsidP="007C63BA">
      <w:pPr>
        <w:pBdr>
          <w:top w:val="nil"/>
          <w:left w:val="nil"/>
          <w:bottom w:val="nil"/>
          <w:right w:val="nil"/>
          <w:between w:val="nil"/>
        </w:pBdr>
        <w:spacing w:after="120"/>
        <w:jc w:val="both"/>
        <w:rPr>
          <w:color w:val="000000"/>
        </w:rPr>
      </w:pPr>
    </w:p>
    <w:p w14:paraId="2EE59DA7" w14:textId="77777777" w:rsidR="006B6F11" w:rsidRPr="006B6F11" w:rsidRDefault="006B6F11" w:rsidP="006B6F11">
      <w:pPr>
        <w:pBdr>
          <w:top w:val="nil"/>
          <w:left w:val="nil"/>
          <w:bottom w:val="nil"/>
          <w:right w:val="nil"/>
          <w:between w:val="nil"/>
        </w:pBdr>
        <w:spacing w:after="120"/>
        <w:jc w:val="both"/>
        <w:rPr>
          <w:color w:val="000000"/>
        </w:rPr>
      </w:pPr>
      <w:r w:rsidRPr="006B6F11">
        <w:rPr>
          <w:color w:val="000000"/>
        </w:rPr>
        <w:t>The Consultant shall provide reporting materials in accordance with the scope of services specified in these Terms of Reference and within the established deadlines. All reports shall be reviewed and approved by the Client in accordance with the procedure set out above.</w:t>
      </w:r>
    </w:p>
    <w:p w14:paraId="39DDEC81" w14:textId="77777777" w:rsidR="006B6F11" w:rsidRPr="006B6F11" w:rsidRDefault="006B6F11" w:rsidP="006B6F11">
      <w:pPr>
        <w:pBdr>
          <w:top w:val="nil"/>
          <w:left w:val="nil"/>
          <w:bottom w:val="nil"/>
          <w:right w:val="nil"/>
          <w:between w:val="nil"/>
        </w:pBdr>
        <w:spacing w:after="120"/>
        <w:jc w:val="both"/>
        <w:rPr>
          <w:color w:val="000000"/>
        </w:rPr>
      </w:pPr>
      <w:r w:rsidRPr="006B6F11">
        <w:rPr>
          <w:color w:val="000000"/>
        </w:rPr>
        <w:t>All reports shall be submitted by the Consultant in electronic format in Russian and English in MS Word format. The Client shall review the submitted reports and, within 10 (ten) business days, send the Consultant comments or a notification of approval. If comments are received, the Consultant shall revise the report and submit a revised version within 10 (ten) business days from the date of receipt of the comments. The Client shall review the revised report and, within 5 (five) business days, make a decision on final approval or send additional clarifying comments (if necessary). Approval of the relevant report shall be the basis for moving on to the next stage of the task.</w:t>
      </w:r>
    </w:p>
    <w:p w14:paraId="11C6ECBA" w14:textId="77777777" w:rsidR="006B6F11" w:rsidRPr="006B6F11" w:rsidRDefault="006B6F11" w:rsidP="006B6F11">
      <w:pPr>
        <w:pBdr>
          <w:top w:val="nil"/>
          <w:left w:val="nil"/>
          <w:bottom w:val="nil"/>
          <w:right w:val="nil"/>
          <w:between w:val="nil"/>
        </w:pBdr>
        <w:spacing w:after="120"/>
        <w:jc w:val="both"/>
        <w:rPr>
          <w:color w:val="000000"/>
        </w:rPr>
      </w:pPr>
      <w:r w:rsidRPr="006B6F11">
        <w:rPr>
          <w:color w:val="000000"/>
        </w:rPr>
        <w:t>Upon completion of all stages of work, the Consultant shall prepare and submit a final report, which shall include:</w:t>
      </w:r>
    </w:p>
    <w:p w14:paraId="17746993" w14:textId="77777777" w:rsidR="006B6F11" w:rsidRPr="006B6F11" w:rsidRDefault="006B6F11" w:rsidP="006B6F11">
      <w:pPr>
        <w:pBdr>
          <w:top w:val="nil"/>
          <w:left w:val="nil"/>
          <w:bottom w:val="nil"/>
          <w:right w:val="nil"/>
          <w:between w:val="nil"/>
        </w:pBdr>
        <w:spacing w:after="120"/>
        <w:jc w:val="both"/>
        <w:rPr>
          <w:color w:val="000000"/>
        </w:rPr>
      </w:pPr>
      <w:r w:rsidRPr="006B6F11">
        <w:rPr>
          <w:color w:val="000000"/>
        </w:rPr>
        <w:t>- a description of all work performed within the scope of the assignment;</w:t>
      </w:r>
    </w:p>
    <w:p w14:paraId="6802E33F" w14:textId="77777777" w:rsidR="006B6F11" w:rsidRPr="006B6F11" w:rsidRDefault="006B6F11" w:rsidP="006B6F11">
      <w:pPr>
        <w:pBdr>
          <w:top w:val="nil"/>
          <w:left w:val="nil"/>
          <w:bottom w:val="nil"/>
          <w:right w:val="nil"/>
          <w:between w:val="nil"/>
        </w:pBdr>
        <w:spacing w:after="120"/>
        <w:jc w:val="both"/>
        <w:rPr>
          <w:color w:val="000000"/>
        </w:rPr>
      </w:pPr>
      <w:r w:rsidRPr="006B6F11">
        <w:rPr>
          <w:color w:val="000000"/>
        </w:rPr>
        <w:t>- an analysis of the achievement of objectives and expected outcomes;</w:t>
      </w:r>
    </w:p>
    <w:p w14:paraId="51D4E697" w14:textId="77777777" w:rsidR="006B6F11" w:rsidRPr="006B6F11" w:rsidRDefault="006B6F11" w:rsidP="006B6F11">
      <w:pPr>
        <w:pBdr>
          <w:top w:val="nil"/>
          <w:left w:val="nil"/>
          <w:bottom w:val="nil"/>
          <w:right w:val="nil"/>
          <w:between w:val="nil"/>
        </w:pBdr>
        <w:spacing w:after="120"/>
        <w:jc w:val="both"/>
        <w:rPr>
          <w:color w:val="000000"/>
        </w:rPr>
      </w:pPr>
      <w:r w:rsidRPr="006B6F11">
        <w:rPr>
          <w:color w:val="000000"/>
        </w:rPr>
        <w:t>- key conclusions and recommendations;</w:t>
      </w:r>
    </w:p>
    <w:p w14:paraId="6F9F0E9C" w14:textId="77777777" w:rsidR="006B6F11" w:rsidRPr="006B6F11" w:rsidRDefault="006B6F11" w:rsidP="006B6F11">
      <w:pPr>
        <w:pBdr>
          <w:top w:val="nil"/>
          <w:left w:val="nil"/>
          <w:bottom w:val="nil"/>
          <w:right w:val="nil"/>
          <w:between w:val="nil"/>
        </w:pBdr>
        <w:spacing w:after="120"/>
        <w:jc w:val="both"/>
        <w:rPr>
          <w:color w:val="000000"/>
        </w:rPr>
      </w:pPr>
      <w:r w:rsidRPr="006B6F11">
        <w:rPr>
          <w:color w:val="000000"/>
        </w:rPr>
        <w:t>- a description of the risks to the sustainability of the strategy implementation and measures to mitigate them;</w:t>
      </w:r>
    </w:p>
    <w:p w14:paraId="44007C1F" w14:textId="77777777" w:rsidR="006B6F11" w:rsidRPr="006B6F11" w:rsidRDefault="006B6F11" w:rsidP="006B6F11">
      <w:pPr>
        <w:pBdr>
          <w:top w:val="nil"/>
          <w:left w:val="nil"/>
          <w:bottom w:val="nil"/>
          <w:right w:val="nil"/>
          <w:between w:val="nil"/>
        </w:pBdr>
        <w:spacing w:after="120"/>
        <w:jc w:val="both"/>
        <w:rPr>
          <w:color w:val="000000"/>
        </w:rPr>
      </w:pPr>
      <w:r w:rsidRPr="006B6F11">
        <w:rPr>
          <w:color w:val="000000"/>
        </w:rPr>
        <w:t>- a final roadmap for the implementation of the outward reinsurance strategy.</w:t>
      </w:r>
    </w:p>
    <w:p w14:paraId="61A67811" w14:textId="77777777" w:rsidR="006B6F11" w:rsidRPr="006B6F11" w:rsidRDefault="006B6F11" w:rsidP="006B6F11">
      <w:pPr>
        <w:pBdr>
          <w:top w:val="nil"/>
          <w:left w:val="nil"/>
          <w:bottom w:val="nil"/>
          <w:right w:val="nil"/>
          <w:between w:val="nil"/>
        </w:pBdr>
        <w:spacing w:after="120"/>
        <w:jc w:val="both"/>
        <w:rPr>
          <w:color w:val="000000"/>
        </w:rPr>
      </w:pPr>
      <w:r w:rsidRPr="006B6F11">
        <w:rPr>
          <w:color w:val="000000"/>
        </w:rPr>
        <w:t>Upon completion of each of the activities, the Consultant shall provide a complete set of reports in the following format:</w:t>
      </w:r>
    </w:p>
    <w:p w14:paraId="4A5916F7" w14:textId="77777777" w:rsidR="006B6F11" w:rsidRPr="006B6F11" w:rsidRDefault="006B6F11" w:rsidP="006B6F11">
      <w:pPr>
        <w:pBdr>
          <w:top w:val="nil"/>
          <w:left w:val="nil"/>
          <w:bottom w:val="nil"/>
          <w:right w:val="nil"/>
          <w:between w:val="nil"/>
        </w:pBdr>
        <w:spacing w:after="120"/>
        <w:jc w:val="both"/>
        <w:rPr>
          <w:color w:val="000000"/>
        </w:rPr>
      </w:pPr>
      <w:r w:rsidRPr="006B6F11">
        <w:rPr>
          <w:color w:val="000000"/>
        </w:rPr>
        <w:t>• 2 (two) copies of bound sets of documentation in paper form in Russian;</w:t>
      </w:r>
    </w:p>
    <w:p w14:paraId="56D2E60F" w14:textId="77777777" w:rsidR="006B6F11" w:rsidRPr="006B6F11" w:rsidRDefault="006B6F11" w:rsidP="006B6F11">
      <w:pPr>
        <w:pBdr>
          <w:top w:val="nil"/>
          <w:left w:val="nil"/>
          <w:bottom w:val="nil"/>
          <w:right w:val="nil"/>
          <w:between w:val="nil"/>
        </w:pBdr>
        <w:spacing w:after="120"/>
        <w:jc w:val="both"/>
        <w:rPr>
          <w:color w:val="000000"/>
        </w:rPr>
      </w:pPr>
      <w:r w:rsidRPr="006B6F11">
        <w:rPr>
          <w:color w:val="000000"/>
        </w:rPr>
        <w:t>• 1 (one) copy of the documentation set on electronic media (in Russian and English).</w:t>
      </w:r>
    </w:p>
    <w:p w14:paraId="2FA919EE" w14:textId="03E342B1" w:rsidR="003E2580" w:rsidRPr="00464B98" w:rsidRDefault="006B6F11" w:rsidP="007C63BA">
      <w:pPr>
        <w:pBdr>
          <w:top w:val="nil"/>
          <w:left w:val="nil"/>
          <w:bottom w:val="nil"/>
          <w:right w:val="nil"/>
          <w:between w:val="nil"/>
        </w:pBdr>
        <w:spacing w:after="120"/>
        <w:jc w:val="both"/>
        <w:rPr>
          <w:color w:val="000000"/>
        </w:rPr>
      </w:pPr>
      <w:r w:rsidRPr="006B6F11">
        <w:rPr>
          <w:color w:val="000000"/>
        </w:rPr>
        <w:lastRenderedPageBreak/>
        <w:t>All reports, documents, and any products developed within the framework of the project will be the property of the Financial Supervision and Financial Market Regulation Service.</w:t>
      </w:r>
    </w:p>
    <w:p w14:paraId="19BDAE52" w14:textId="77777777" w:rsidR="003E2580" w:rsidRDefault="003E2580" w:rsidP="007C63BA">
      <w:pPr>
        <w:pBdr>
          <w:top w:val="nil"/>
          <w:left w:val="nil"/>
          <w:bottom w:val="nil"/>
          <w:right w:val="nil"/>
          <w:between w:val="nil"/>
        </w:pBdr>
        <w:spacing w:after="120"/>
        <w:jc w:val="both"/>
        <w:rPr>
          <w:color w:val="000000"/>
        </w:rPr>
      </w:pPr>
    </w:p>
    <w:p w14:paraId="00895067" w14:textId="77777777" w:rsidR="004D39FF" w:rsidRPr="00464B98" w:rsidRDefault="004D39FF" w:rsidP="007C63BA">
      <w:pPr>
        <w:pBdr>
          <w:top w:val="nil"/>
          <w:left w:val="nil"/>
          <w:bottom w:val="nil"/>
          <w:right w:val="nil"/>
          <w:between w:val="nil"/>
        </w:pBdr>
        <w:spacing w:after="120"/>
        <w:jc w:val="both"/>
        <w:rPr>
          <w:color w:val="000000"/>
        </w:rPr>
      </w:pPr>
    </w:p>
    <w:p w14:paraId="060EB276" w14:textId="43FF041C" w:rsidR="00E31D8A" w:rsidRPr="00464B98" w:rsidRDefault="006B6F11" w:rsidP="00B048E4">
      <w:pPr>
        <w:numPr>
          <w:ilvl w:val="0"/>
          <w:numId w:val="2"/>
        </w:numPr>
        <w:pBdr>
          <w:top w:val="nil"/>
          <w:left w:val="nil"/>
          <w:bottom w:val="nil"/>
          <w:right w:val="nil"/>
          <w:between w:val="nil"/>
        </w:pBdr>
        <w:tabs>
          <w:tab w:val="left" w:pos="426"/>
        </w:tabs>
        <w:spacing w:after="120"/>
        <w:rPr>
          <w:b/>
          <w:color w:val="000000"/>
        </w:rPr>
      </w:pPr>
      <w:r w:rsidRPr="00464B98">
        <w:rPr>
          <w:b/>
          <w:color w:val="000000"/>
        </w:rPr>
        <w:t>EXPECTED OUTCOMES</w:t>
      </w:r>
    </w:p>
    <w:tbl>
      <w:tblPr>
        <w:tblStyle w:val="affd"/>
        <w:tblW w:w="9355" w:type="dxa"/>
        <w:tblInd w:w="2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095"/>
        <w:gridCol w:w="3260"/>
      </w:tblGrid>
      <w:tr w:rsidR="00E31D8A" w:rsidRPr="00464B98" w14:paraId="3B6AC786" w14:textId="77777777" w:rsidTr="1AFBC361">
        <w:trPr>
          <w:trHeight w:val="320"/>
        </w:trPr>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E10479" w14:textId="4B6B6916" w:rsidR="00E31D8A" w:rsidRPr="00464B98" w:rsidRDefault="006B6F11" w:rsidP="007C63BA">
            <w:pPr>
              <w:pBdr>
                <w:top w:val="nil"/>
                <w:left w:val="nil"/>
                <w:bottom w:val="nil"/>
                <w:right w:val="nil"/>
                <w:between w:val="nil"/>
              </w:pBdr>
              <w:spacing w:after="120"/>
              <w:jc w:val="center"/>
              <w:rPr>
                <w:color w:val="000000"/>
              </w:rPr>
            </w:pPr>
            <w:r w:rsidRPr="00464B98">
              <w:rPr>
                <w:b/>
                <w:color w:val="000000"/>
              </w:rPr>
              <w:t>Outcomes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758B38" w14:textId="6671DBD9" w:rsidR="00E31D8A" w:rsidRPr="00464B98" w:rsidRDefault="006B6F11" w:rsidP="007C63BA">
            <w:pPr>
              <w:pBdr>
                <w:top w:val="nil"/>
                <w:left w:val="nil"/>
                <w:bottom w:val="nil"/>
                <w:right w:val="nil"/>
                <w:between w:val="nil"/>
              </w:pBdr>
              <w:spacing w:after="120"/>
              <w:jc w:val="center"/>
              <w:rPr>
                <w:color w:val="000000"/>
              </w:rPr>
            </w:pPr>
            <w:r w:rsidRPr="00464B98">
              <w:rPr>
                <w:b/>
                <w:color w:val="000000"/>
              </w:rPr>
              <w:t>Deadlines</w:t>
            </w:r>
          </w:p>
        </w:tc>
      </w:tr>
      <w:tr w:rsidR="008408BE" w:rsidRPr="00464B98" w14:paraId="4BEFE180" w14:textId="77777777" w:rsidTr="1AFBC361">
        <w:trPr>
          <w:trHeight w:val="530"/>
        </w:trPr>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25CD39" w14:textId="3A58341C" w:rsidR="008408BE" w:rsidRPr="00464B98" w:rsidRDefault="008408BE" w:rsidP="1AFBC361">
            <w:pPr>
              <w:pBdr>
                <w:top w:val="nil"/>
                <w:left w:val="nil"/>
                <w:bottom w:val="nil"/>
                <w:right w:val="nil"/>
                <w:between w:val="nil"/>
              </w:pBdr>
              <w:spacing w:after="120"/>
              <w:jc w:val="both"/>
              <w:rPr>
                <w:color w:val="000000"/>
              </w:rPr>
            </w:pPr>
            <w:r w:rsidRPr="1AFBC361">
              <w:rPr>
                <w:color w:val="000000" w:themeColor="text1"/>
              </w:rPr>
              <w:t xml:space="preserve">1. Analysis of the current risk distribution and reinsurance </w:t>
            </w:r>
            <w:r w:rsidR="72964F6E" w:rsidRPr="1AFBC361">
              <w:rPr>
                <w:color w:val="000000" w:themeColor="text1"/>
              </w:rPr>
              <w:t>arrangements in the domestic market</w:t>
            </w:r>
            <w:r w:rsidRPr="1AFBC361">
              <w:rPr>
                <w:color w:val="000000" w:themeColor="text1"/>
              </w:rPr>
              <w:t>.</w:t>
            </w:r>
          </w:p>
          <w:p w14:paraId="263EE6B0" w14:textId="77777777" w:rsidR="008408BE" w:rsidRPr="00464B98" w:rsidRDefault="008408BE" w:rsidP="008408BE">
            <w:pPr>
              <w:pBdr>
                <w:top w:val="nil"/>
                <w:left w:val="nil"/>
                <w:bottom w:val="nil"/>
                <w:right w:val="nil"/>
                <w:between w:val="nil"/>
              </w:pBdr>
              <w:spacing w:after="120"/>
              <w:jc w:val="both"/>
              <w:rPr>
                <w:bCs/>
                <w:color w:val="000000"/>
              </w:rPr>
            </w:pPr>
            <w:r w:rsidRPr="00464B98">
              <w:rPr>
                <w:bCs/>
                <w:color w:val="000000"/>
              </w:rPr>
              <w:t>A comprehensive analysis of the current institutional, financial, and regulatory environment in terms of catastrophic insurance risk management was conducted, including existing reinsurance practices, risk retention levels, the availability of reserves, and government guarantees.</w:t>
            </w:r>
          </w:p>
          <w:p w14:paraId="0A7533E7" w14:textId="5624C5C1" w:rsidR="008408BE" w:rsidRPr="00464B98" w:rsidRDefault="008408BE" w:rsidP="008408BE">
            <w:pPr>
              <w:pBdr>
                <w:top w:val="nil"/>
                <w:left w:val="nil"/>
                <w:bottom w:val="nil"/>
                <w:right w:val="nil"/>
                <w:between w:val="nil"/>
              </w:pBdr>
              <w:spacing w:after="120"/>
              <w:jc w:val="both"/>
              <w:rPr>
                <w:bCs/>
                <w:color w:val="000000"/>
              </w:rPr>
            </w:pPr>
            <w:r w:rsidRPr="00464B98">
              <w:rPr>
                <w:bCs/>
                <w:color w:val="000000"/>
              </w:rPr>
              <w:t>An analytical report was prepared and approved, containing a comparative assessment of possible reinsurance structure options and their preliminary financial and fiscal implications.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D54DEB0" w14:textId="7510DBFA" w:rsidR="008408BE" w:rsidRPr="00464B98" w:rsidRDefault="008408BE" w:rsidP="008408BE">
            <w:pPr>
              <w:pBdr>
                <w:top w:val="nil"/>
                <w:left w:val="nil"/>
                <w:bottom w:val="nil"/>
                <w:right w:val="nil"/>
                <w:between w:val="nil"/>
              </w:pBdr>
              <w:spacing w:after="120"/>
              <w:rPr>
                <w:color w:val="000000"/>
              </w:rPr>
            </w:pPr>
            <w:r w:rsidRPr="00464B98">
              <w:t>No later than the 6th week from the date of the contract's entry into force</w:t>
            </w:r>
          </w:p>
        </w:tc>
      </w:tr>
      <w:tr w:rsidR="008408BE" w:rsidRPr="00464B98" w14:paraId="49904726" w14:textId="77777777" w:rsidTr="1AFBC361">
        <w:trPr>
          <w:trHeight w:val="4378"/>
        </w:trPr>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015FE86" w14:textId="77777777" w:rsidR="008408BE" w:rsidRPr="008408BE" w:rsidRDefault="008408BE" w:rsidP="008408BE">
            <w:pPr>
              <w:pBdr>
                <w:top w:val="nil"/>
                <w:left w:val="nil"/>
                <w:bottom w:val="nil"/>
                <w:right w:val="nil"/>
                <w:between w:val="nil"/>
              </w:pBdr>
              <w:spacing w:after="120"/>
              <w:jc w:val="both"/>
              <w:rPr>
                <w:bCs/>
                <w:color w:val="000000"/>
              </w:rPr>
            </w:pPr>
            <w:r w:rsidRPr="008408BE">
              <w:rPr>
                <w:bCs/>
                <w:color w:val="000000"/>
              </w:rPr>
              <w:t>2. Developed outward reinsurance strategy.</w:t>
            </w:r>
          </w:p>
          <w:p w14:paraId="66D1FBCC" w14:textId="77777777" w:rsidR="008408BE" w:rsidRPr="008408BE" w:rsidRDefault="008408BE" w:rsidP="008408BE">
            <w:pPr>
              <w:pBdr>
                <w:top w:val="nil"/>
                <w:left w:val="nil"/>
                <w:bottom w:val="nil"/>
                <w:right w:val="nil"/>
                <w:between w:val="nil"/>
              </w:pBdr>
              <w:spacing w:after="120"/>
              <w:jc w:val="both"/>
              <w:rPr>
                <w:bCs/>
                <w:color w:val="000000"/>
              </w:rPr>
            </w:pPr>
            <w:r w:rsidRPr="008408BE">
              <w:rPr>
                <w:bCs/>
                <w:color w:val="000000"/>
              </w:rPr>
              <w:t>A draft comprehensive outward reinsurance strategy has been prepared, including:</w:t>
            </w:r>
          </w:p>
          <w:p w14:paraId="20B5A5E4" w14:textId="77777777" w:rsidR="008408BE" w:rsidRPr="008408BE" w:rsidRDefault="008408BE" w:rsidP="008408BE">
            <w:pPr>
              <w:numPr>
                <w:ilvl w:val="0"/>
                <w:numId w:val="15"/>
              </w:numPr>
              <w:pBdr>
                <w:top w:val="nil"/>
                <w:left w:val="nil"/>
                <w:bottom w:val="nil"/>
                <w:right w:val="nil"/>
                <w:between w:val="nil"/>
              </w:pBdr>
              <w:spacing w:after="120"/>
              <w:jc w:val="both"/>
              <w:rPr>
                <w:bCs/>
                <w:color w:val="000000"/>
              </w:rPr>
            </w:pPr>
            <w:r w:rsidRPr="008408BE">
              <w:rPr>
                <w:bCs/>
                <w:color w:val="000000"/>
              </w:rPr>
              <w:t>justification of the selected risk distribution model;</w:t>
            </w:r>
          </w:p>
          <w:p w14:paraId="73A9E8B4" w14:textId="77777777" w:rsidR="008408BE" w:rsidRPr="008408BE" w:rsidRDefault="008408BE" w:rsidP="008408BE">
            <w:pPr>
              <w:numPr>
                <w:ilvl w:val="0"/>
                <w:numId w:val="15"/>
              </w:numPr>
              <w:pBdr>
                <w:top w:val="nil"/>
                <w:left w:val="nil"/>
                <w:bottom w:val="nil"/>
                <w:right w:val="nil"/>
                <w:between w:val="nil"/>
              </w:pBdr>
              <w:spacing w:after="120"/>
              <w:jc w:val="both"/>
              <w:rPr>
                <w:bCs/>
                <w:color w:val="000000"/>
              </w:rPr>
            </w:pPr>
            <w:r w:rsidRPr="008408BE">
              <w:rPr>
                <w:bCs/>
                <w:color w:val="000000"/>
              </w:rPr>
              <w:t>calculation of optimal retention levels;</w:t>
            </w:r>
          </w:p>
          <w:p w14:paraId="5851292A" w14:textId="77777777" w:rsidR="008408BE" w:rsidRPr="008408BE" w:rsidRDefault="008408BE" w:rsidP="008408BE">
            <w:pPr>
              <w:numPr>
                <w:ilvl w:val="0"/>
                <w:numId w:val="15"/>
              </w:numPr>
              <w:pBdr>
                <w:top w:val="nil"/>
                <w:left w:val="nil"/>
                <w:bottom w:val="nil"/>
                <w:right w:val="nil"/>
                <w:between w:val="nil"/>
              </w:pBdr>
              <w:spacing w:after="120"/>
              <w:jc w:val="both"/>
              <w:rPr>
                <w:bCs/>
                <w:color w:val="000000"/>
              </w:rPr>
            </w:pPr>
            <w:r w:rsidRPr="008408BE">
              <w:rPr>
                <w:bCs/>
                <w:color w:val="000000"/>
              </w:rPr>
              <w:t>assessment of the financial implications for the SIO;</w:t>
            </w:r>
          </w:p>
          <w:p w14:paraId="3CA52020" w14:textId="77777777" w:rsidR="008408BE" w:rsidRPr="008408BE" w:rsidRDefault="008408BE" w:rsidP="008408BE">
            <w:pPr>
              <w:numPr>
                <w:ilvl w:val="0"/>
                <w:numId w:val="15"/>
              </w:numPr>
              <w:pBdr>
                <w:top w:val="nil"/>
                <w:left w:val="nil"/>
                <w:bottom w:val="nil"/>
                <w:right w:val="nil"/>
                <w:between w:val="nil"/>
              </w:pBdr>
              <w:spacing w:after="120"/>
              <w:jc w:val="both"/>
              <w:rPr>
                <w:bCs/>
                <w:color w:val="000000"/>
              </w:rPr>
            </w:pPr>
            <w:r w:rsidRPr="008408BE">
              <w:rPr>
                <w:bCs/>
                <w:color w:val="000000"/>
              </w:rPr>
              <w:t>analysis of potential risks to the state budget;</w:t>
            </w:r>
          </w:p>
          <w:p w14:paraId="25CE4CBC" w14:textId="77777777" w:rsidR="008408BE" w:rsidRPr="008408BE" w:rsidRDefault="008408BE" w:rsidP="008408BE">
            <w:pPr>
              <w:numPr>
                <w:ilvl w:val="0"/>
                <w:numId w:val="15"/>
              </w:numPr>
              <w:pBdr>
                <w:top w:val="nil"/>
                <w:left w:val="nil"/>
                <w:bottom w:val="nil"/>
                <w:right w:val="nil"/>
                <w:between w:val="nil"/>
              </w:pBdr>
              <w:spacing w:after="120"/>
              <w:jc w:val="both"/>
              <w:rPr>
                <w:bCs/>
                <w:color w:val="000000"/>
              </w:rPr>
            </w:pPr>
            <w:r w:rsidRPr="008408BE">
              <w:rPr>
                <w:bCs/>
                <w:color w:val="000000"/>
              </w:rPr>
              <w:t>recommendations on the use and limitation of state guarantees.</w:t>
            </w:r>
          </w:p>
          <w:p w14:paraId="4CAAC3FD" w14:textId="64D3F7F4" w:rsidR="008408BE" w:rsidRPr="00464B98" w:rsidRDefault="008408BE" w:rsidP="1AFBC361">
            <w:pPr>
              <w:pBdr>
                <w:top w:val="nil"/>
                <w:left w:val="nil"/>
                <w:bottom w:val="nil"/>
                <w:right w:val="nil"/>
                <w:between w:val="nil"/>
              </w:pBdr>
              <w:spacing w:after="120"/>
              <w:jc w:val="both"/>
              <w:rPr>
                <w:color w:val="000000"/>
              </w:rPr>
            </w:pPr>
            <w:r w:rsidRPr="1AFBC361">
              <w:rPr>
                <w:color w:val="000000" w:themeColor="text1"/>
              </w:rPr>
              <w:t xml:space="preserve">The strategy reflects a phased approach to implementation, taking into account the institutional and financial readiness of the compulsory insurance </w:t>
            </w:r>
            <w:r w:rsidR="05470059" w:rsidRPr="1AFBC361">
              <w:rPr>
                <w:color w:val="000000" w:themeColor="text1"/>
              </w:rPr>
              <w:t>program</w:t>
            </w:r>
            <w:r w:rsidRPr="1AFBC361">
              <w:rPr>
                <w:color w:val="000000" w:themeColor="text1"/>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2DAE9B" w14:textId="38B3400D" w:rsidR="008408BE" w:rsidRPr="00464B98" w:rsidRDefault="008408BE" w:rsidP="008408BE">
            <w:pPr>
              <w:pBdr>
                <w:top w:val="nil"/>
                <w:left w:val="nil"/>
                <w:bottom w:val="nil"/>
                <w:right w:val="nil"/>
                <w:between w:val="nil"/>
              </w:pBdr>
              <w:spacing w:after="120"/>
              <w:rPr>
                <w:color w:val="000000"/>
              </w:rPr>
            </w:pPr>
            <w:r w:rsidRPr="00464B98">
              <w:t>No later than the 12th week from the date of the contract's entry into force</w:t>
            </w:r>
          </w:p>
        </w:tc>
      </w:tr>
      <w:tr w:rsidR="008408BE" w:rsidRPr="00464B98" w14:paraId="6151D63B" w14:textId="77777777" w:rsidTr="1AFBC361">
        <w:trPr>
          <w:trHeight w:val="610"/>
        </w:trPr>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15756CC" w14:textId="77777777" w:rsidR="008408BE" w:rsidRPr="008408BE" w:rsidRDefault="008408BE" w:rsidP="008408BE">
            <w:pPr>
              <w:pBdr>
                <w:top w:val="nil"/>
                <w:left w:val="nil"/>
                <w:bottom w:val="nil"/>
                <w:right w:val="nil"/>
                <w:between w:val="nil"/>
              </w:pBdr>
              <w:spacing w:after="120"/>
              <w:jc w:val="both"/>
            </w:pPr>
            <w:r w:rsidRPr="008408BE">
              <w:t>3. Readiness to engage with the international reinsurance market.</w:t>
            </w:r>
          </w:p>
          <w:p w14:paraId="7EA9A081" w14:textId="77777777" w:rsidR="008408BE" w:rsidRPr="008408BE" w:rsidRDefault="008408BE" w:rsidP="008408BE">
            <w:pPr>
              <w:pBdr>
                <w:top w:val="nil"/>
                <w:left w:val="nil"/>
                <w:bottom w:val="nil"/>
                <w:right w:val="nil"/>
                <w:between w:val="nil"/>
              </w:pBdr>
              <w:spacing w:after="120"/>
              <w:jc w:val="both"/>
            </w:pPr>
            <w:r w:rsidRPr="008408BE">
              <w:t>A complete information package has been prepared for interaction with international reinsurers and brokers, in accordance with underwriting requirements and international market practice, including technical, analytical, and marketing materials.</w:t>
            </w:r>
          </w:p>
          <w:p w14:paraId="3F066AA6" w14:textId="32DC270E" w:rsidR="008408BE" w:rsidRPr="00464B98" w:rsidRDefault="008408BE" w:rsidP="1AFBC361">
            <w:pPr>
              <w:pBdr>
                <w:top w:val="nil"/>
                <w:left w:val="nil"/>
                <w:bottom w:val="nil"/>
                <w:right w:val="nil"/>
                <w:between w:val="nil"/>
              </w:pBdr>
              <w:spacing w:after="120"/>
              <w:jc w:val="both"/>
            </w:pPr>
            <w:r>
              <w:t xml:space="preserve">The compulsory insurance </w:t>
            </w:r>
            <w:r w:rsidR="4DB30FE6">
              <w:t xml:space="preserve">program </w:t>
            </w:r>
            <w:r>
              <w:t>is ready for market consultations and subsequent placement of reinsurance coverage.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4364715" w14:textId="159E72B4" w:rsidR="008408BE" w:rsidRPr="00464B98" w:rsidRDefault="008408BE" w:rsidP="008408BE">
            <w:pPr>
              <w:pBdr>
                <w:top w:val="nil"/>
                <w:left w:val="nil"/>
                <w:bottom w:val="nil"/>
                <w:right w:val="nil"/>
                <w:between w:val="nil"/>
              </w:pBdr>
              <w:spacing w:after="120"/>
              <w:rPr>
                <w:color w:val="000000"/>
              </w:rPr>
            </w:pPr>
            <w:r w:rsidRPr="00464B98">
              <w:t>No later than the 16th week from the date of the contract's entry into force</w:t>
            </w:r>
          </w:p>
        </w:tc>
      </w:tr>
      <w:tr w:rsidR="008408BE" w:rsidRPr="00464B98" w14:paraId="29A91FC8" w14:textId="77777777" w:rsidTr="1AFBC361">
        <w:trPr>
          <w:trHeight w:val="610"/>
        </w:trPr>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B51AC4" w14:textId="77777777" w:rsidR="008408BE" w:rsidRPr="008408BE" w:rsidRDefault="008408BE" w:rsidP="008408BE">
            <w:pPr>
              <w:pBdr>
                <w:top w:val="nil"/>
                <w:left w:val="nil"/>
                <w:bottom w:val="nil"/>
                <w:right w:val="nil"/>
                <w:between w:val="nil"/>
              </w:pBdr>
              <w:spacing w:after="120"/>
              <w:jc w:val="both"/>
              <w:rPr>
                <w:color w:val="000000"/>
              </w:rPr>
            </w:pPr>
            <w:r w:rsidRPr="008408BE">
              <w:rPr>
                <w:color w:val="000000"/>
              </w:rPr>
              <w:t>4. Practical roadmap for strategy implementation.</w:t>
            </w:r>
          </w:p>
          <w:p w14:paraId="2CD0A799" w14:textId="77777777" w:rsidR="008408BE" w:rsidRPr="008408BE" w:rsidRDefault="008408BE" w:rsidP="008408BE">
            <w:pPr>
              <w:pBdr>
                <w:top w:val="nil"/>
                <w:left w:val="nil"/>
                <w:bottom w:val="nil"/>
                <w:right w:val="nil"/>
                <w:between w:val="nil"/>
              </w:pBdr>
              <w:spacing w:after="120"/>
              <w:jc w:val="both"/>
              <w:rPr>
                <w:color w:val="000000"/>
              </w:rPr>
            </w:pPr>
            <w:r w:rsidRPr="008408BE">
              <w:rPr>
                <w:color w:val="000000"/>
              </w:rPr>
              <w:lastRenderedPageBreak/>
              <w:t>A phased roadmap for implementing the outward reinsurance strategy has been developed and approved, including:</w:t>
            </w:r>
          </w:p>
          <w:p w14:paraId="5BBA5C9E" w14:textId="77777777" w:rsidR="008408BE" w:rsidRPr="008408BE" w:rsidRDefault="008408BE" w:rsidP="008408BE">
            <w:pPr>
              <w:numPr>
                <w:ilvl w:val="0"/>
                <w:numId w:val="14"/>
              </w:numPr>
              <w:pBdr>
                <w:top w:val="nil"/>
                <w:left w:val="nil"/>
                <w:bottom w:val="nil"/>
                <w:right w:val="nil"/>
                <w:between w:val="nil"/>
              </w:pBdr>
              <w:spacing w:after="120"/>
              <w:jc w:val="both"/>
              <w:rPr>
                <w:color w:val="000000"/>
              </w:rPr>
            </w:pPr>
            <w:r w:rsidRPr="008408BE">
              <w:rPr>
                <w:color w:val="000000"/>
              </w:rPr>
              <w:t>a sequence of actions for placing and renewing reinsurance coverage;</w:t>
            </w:r>
          </w:p>
          <w:p w14:paraId="177FF08B" w14:textId="48CAA2D8" w:rsidR="008408BE" w:rsidRPr="008408BE" w:rsidRDefault="008408BE" w:rsidP="1AFBC361">
            <w:pPr>
              <w:numPr>
                <w:ilvl w:val="0"/>
                <w:numId w:val="14"/>
              </w:numPr>
              <w:pBdr>
                <w:top w:val="nil"/>
                <w:left w:val="nil"/>
                <w:bottom w:val="nil"/>
                <w:right w:val="nil"/>
                <w:between w:val="nil"/>
              </w:pBdr>
              <w:spacing w:after="120"/>
              <w:jc w:val="both"/>
              <w:rPr>
                <w:color w:val="000000"/>
              </w:rPr>
            </w:pPr>
            <w:r w:rsidRPr="1AFBC361">
              <w:rPr>
                <w:color w:val="000000" w:themeColor="text1"/>
              </w:rPr>
              <w:t>institutional management</w:t>
            </w:r>
            <w:r w:rsidR="42E82387" w:rsidRPr="1AFBC361">
              <w:rPr>
                <w:color w:val="000000" w:themeColor="text1"/>
              </w:rPr>
              <w:t>, capacity requirements</w:t>
            </w:r>
            <w:r w:rsidRPr="1AFBC361">
              <w:rPr>
                <w:color w:val="000000" w:themeColor="text1"/>
              </w:rPr>
              <w:t xml:space="preserve"> and coordination mechanisms;</w:t>
            </w:r>
          </w:p>
          <w:p w14:paraId="223BC17D" w14:textId="77777777" w:rsidR="008408BE" w:rsidRPr="008408BE" w:rsidRDefault="008408BE" w:rsidP="008408BE">
            <w:pPr>
              <w:numPr>
                <w:ilvl w:val="0"/>
                <w:numId w:val="14"/>
              </w:numPr>
              <w:pBdr>
                <w:top w:val="nil"/>
                <w:left w:val="nil"/>
                <w:bottom w:val="nil"/>
                <w:right w:val="nil"/>
                <w:between w:val="nil"/>
              </w:pBdr>
              <w:spacing w:after="120"/>
              <w:jc w:val="both"/>
              <w:rPr>
                <w:color w:val="000000"/>
              </w:rPr>
            </w:pPr>
            <w:r w:rsidRPr="008408BE">
              <w:rPr>
                <w:color w:val="000000"/>
              </w:rPr>
              <w:t>requirements for internal approvals and procurement procedures;</w:t>
            </w:r>
          </w:p>
          <w:p w14:paraId="1B947AF7" w14:textId="1B826B06" w:rsidR="008408BE" w:rsidRPr="00464B98" w:rsidRDefault="008408BE" w:rsidP="008408BE">
            <w:pPr>
              <w:numPr>
                <w:ilvl w:val="0"/>
                <w:numId w:val="14"/>
              </w:numPr>
              <w:pBdr>
                <w:top w:val="nil"/>
                <w:left w:val="nil"/>
                <w:bottom w:val="nil"/>
                <w:right w:val="nil"/>
                <w:between w:val="nil"/>
              </w:pBdr>
              <w:spacing w:after="120"/>
              <w:jc w:val="both"/>
              <w:rPr>
                <w:color w:val="000000"/>
              </w:rPr>
            </w:pPr>
            <w:r w:rsidRPr="008408BE">
              <w:rPr>
                <w:color w:val="000000"/>
              </w:rPr>
              <w:t>interrelationship with budget planning, solvency assessment, and tariff policy.</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3E0DEE" w14:textId="5ED64721" w:rsidR="008408BE" w:rsidRPr="00464B98" w:rsidRDefault="008408BE" w:rsidP="008408BE">
            <w:pPr>
              <w:pBdr>
                <w:top w:val="nil"/>
                <w:left w:val="nil"/>
                <w:bottom w:val="nil"/>
                <w:right w:val="nil"/>
                <w:between w:val="nil"/>
              </w:pBdr>
              <w:spacing w:after="120"/>
              <w:rPr>
                <w:color w:val="000000"/>
              </w:rPr>
            </w:pPr>
            <w:r w:rsidRPr="00464B98">
              <w:lastRenderedPageBreak/>
              <w:t>No later than the 28th week from the date of the contract's entry into force</w:t>
            </w:r>
          </w:p>
        </w:tc>
      </w:tr>
    </w:tbl>
    <w:p w14:paraId="5834F799" w14:textId="77777777" w:rsidR="00E31D8A" w:rsidRPr="00464B98" w:rsidRDefault="00E31D8A" w:rsidP="007C63BA">
      <w:pPr>
        <w:widowControl w:val="0"/>
        <w:pBdr>
          <w:top w:val="nil"/>
          <w:left w:val="nil"/>
          <w:bottom w:val="nil"/>
          <w:right w:val="nil"/>
          <w:between w:val="nil"/>
        </w:pBdr>
        <w:spacing w:after="120"/>
        <w:ind w:left="1296"/>
        <w:rPr>
          <w:color w:val="000000"/>
        </w:rPr>
      </w:pPr>
    </w:p>
    <w:p w14:paraId="030B8E6A" w14:textId="20431055" w:rsidR="00E31D8A" w:rsidRPr="00464B98" w:rsidRDefault="008408BE" w:rsidP="00B048E4">
      <w:pPr>
        <w:numPr>
          <w:ilvl w:val="0"/>
          <w:numId w:val="2"/>
        </w:numPr>
        <w:pBdr>
          <w:top w:val="nil"/>
          <w:left w:val="nil"/>
          <w:bottom w:val="nil"/>
          <w:right w:val="nil"/>
          <w:between w:val="nil"/>
        </w:pBdr>
        <w:tabs>
          <w:tab w:val="left" w:pos="426"/>
        </w:tabs>
        <w:spacing w:after="120"/>
        <w:rPr>
          <w:b/>
          <w:color w:val="000000"/>
        </w:rPr>
      </w:pPr>
      <w:r w:rsidRPr="00464B98">
        <w:rPr>
          <w:b/>
          <w:color w:val="000000"/>
        </w:rPr>
        <w:t>PAYMENT SCHEDULE</w:t>
      </w:r>
    </w:p>
    <w:tbl>
      <w:tblPr>
        <w:tblStyle w:val="affe"/>
        <w:tblW w:w="945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932"/>
        <w:gridCol w:w="6520"/>
      </w:tblGrid>
      <w:tr w:rsidR="00E31D8A" w:rsidRPr="00464B98" w14:paraId="02015F29" w14:textId="77777777" w:rsidTr="00813A01">
        <w:trPr>
          <w:trHeight w:val="304"/>
        </w:trPr>
        <w:tc>
          <w:tcPr>
            <w:tcW w:w="29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632636" w14:textId="1F269EEC" w:rsidR="00E31D8A" w:rsidRPr="00464B98" w:rsidRDefault="008408BE" w:rsidP="007C63BA">
            <w:pPr>
              <w:pBdr>
                <w:top w:val="nil"/>
                <w:left w:val="nil"/>
                <w:bottom w:val="nil"/>
                <w:right w:val="nil"/>
                <w:between w:val="nil"/>
              </w:pBdr>
              <w:spacing w:after="120"/>
              <w:jc w:val="center"/>
              <w:rPr>
                <w:color w:val="000000"/>
              </w:rPr>
            </w:pPr>
            <w:r w:rsidRPr="00464B98">
              <w:rPr>
                <w:b/>
                <w:color w:val="000000"/>
              </w:rPr>
              <w:t>Deliverables</w:t>
            </w:r>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BDDE2F" w14:textId="2C791BCD" w:rsidR="00E31D8A" w:rsidRPr="00464B98" w:rsidRDefault="008408BE" w:rsidP="007C63BA">
            <w:pPr>
              <w:pBdr>
                <w:top w:val="nil"/>
                <w:left w:val="nil"/>
                <w:bottom w:val="nil"/>
                <w:right w:val="nil"/>
                <w:between w:val="nil"/>
              </w:pBdr>
              <w:spacing w:after="120"/>
              <w:jc w:val="center"/>
              <w:rPr>
                <w:color w:val="000000"/>
              </w:rPr>
            </w:pPr>
            <w:r w:rsidRPr="00464B98">
              <w:rPr>
                <w:b/>
                <w:color w:val="000000"/>
              </w:rPr>
              <w:t>Payment in</w:t>
            </w:r>
            <w:r w:rsidR="00D06403" w:rsidRPr="00464B98">
              <w:rPr>
                <w:b/>
                <w:color w:val="000000"/>
              </w:rPr>
              <w:t xml:space="preserve"> %</w:t>
            </w:r>
          </w:p>
        </w:tc>
      </w:tr>
      <w:tr w:rsidR="008408BE" w:rsidRPr="00464B98" w14:paraId="0582E2C1" w14:textId="77777777" w:rsidTr="00813A01">
        <w:trPr>
          <w:trHeight w:val="109"/>
        </w:trPr>
        <w:tc>
          <w:tcPr>
            <w:tcW w:w="29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C5036" w14:textId="5C0C6EC1" w:rsidR="008408BE" w:rsidRPr="00464B98" w:rsidRDefault="008408BE" w:rsidP="008408BE">
            <w:pPr>
              <w:pStyle w:val="ad"/>
              <w:jc w:val="center"/>
              <w:rPr>
                <w:rFonts w:ascii="Times New Roman" w:hAnsi="Times New Roman" w:cs="Times New Roman"/>
                <w:color w:val="000000"/>
                <w:sz w:val="24"/>
                <w:szCs w:val="24"/>
              </w:rPr>
            </w:pPr>
            <w:r w:rsidRPr="00464B98">
              <w:rPr>
                <w:rFonts w:ascii="Times New Roman" w:eastAsia="Times New Roman" w:hAnsi="Times New Roman" w:cs="Times New Roman"/>
                <w:b/>
                <w:bCs/>
                <w:sz w:val="24"/>
                <w:szCs w:val="24"/>
              </w:rPr>
              <w:t>Report #1</w:t>
            </w:r>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8DD075" w14:textId="5464E4EA" w:rsidR="008408BE" w:rsidRPr="00464B98" w:rsidRDefault="008408BE" w:rsidP="008408BE">
            <w:pPr>
              <w:pBdr>
                <w:top w:val="nil"/>
                <w:left w:val="nil"/>
                <w:bottom w:val="nil"/>
                <w:right w:val="nil"/>
                <w:between w:val="nil"/>
              </w:pBdr>
              <w:spacing w:after="120"/>
              <w:jc w:val="center"/>
              <w:rPr>
                <w:color w:val="000000"/>
              </w:rPr>
            </w:pPr>
            <w:r w:rsidRPr="00464B98">
              <w:rPr>
                <w:color w:val="000000"/>
              </w:rPr>
              <w:t>20%</w:t>
            </w:r>
          </w:p>
        </w:tc>
      </w:tr>
      <w:tr w:rsidR="008408BE" w:rsidRPr="00464B98" w14:paraId="2CF6D05B" w14:textId="77777777" w:rsidTr="00813A01">
        <w:trPr>
          <w:trHeight w:val="259"/>
        </w:trPr>
        <w:tc>
          <w:tcPr>
            <w:tcW w:w="29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41AA92" w14:textId="360F3DB6" w:rsidR="008408BE" w:rsidRPr="00464B98" w:rsidRDefault="008408BE" w:rsidP="008408BE">
            <w:pPr>
              <w:pStyle w:val="ad"/>
              <w:jc w:val="center"/>
              <w:rPr>
                <w:rFonts w:ascii="Times New Roman" w:hAnsi="Times New Roman" w:cs="Times New Roman"/>
                <w:color w:val="000000"/>
                <w:sz w:val="24"/>
                <w:szCs w:val="24"/>
              </w:rPr>
            </w:pPr>
            <w:r w:rsidRPr="00464B98">
              <w:rPr>
                <w:rFonts w:ascii="Times New Roman" w:eastAsia="Times New Roman" w:hAnsi="Times New Roman" w:cs="Times New Roman"/>
                <w:b/>
                <w:bCs/>
                <w:sz w:val="24"/>
                <w:szCs w:val="24"/>
              </w:rPr>
              <w:t>Report #2</w:t>
            </w:r>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95175" w14:textId="779C714E" w:rsidR="008408BE" w:rsidRPr="00464B98" w:rsidRDefault="008408BE" w:rsidP="008408BE">
            <w:pPr>
              <w:pBdr>
                <w:top w:val="nil"/>
                <w:left w:val="nil"/>
                <w:bottom w:val="nil"/>
                <w:right w:val="nil"/>
                <w:between w:val="nil"/>
              </w:pBdr>
              <w:spacing w:after="120"/>
              <w:jc w:val="center"/>
              <w:rPr>
                <w:color w:val="000000"/>
              </w:rPr>
            </w:pPr>
            <w:r w:rsidRPr="00464B98">
              <w:rPr>
                <w:color w:val="000000"/>
              </w:rPr>
              <w:t>30%</w:t>
            </w:r>
          </w:p>
        </w:tc>
      </w:tr>
      <w:tr w:rsidR="008408BE" w:rsidRPr="00464B98" w14:paraId="322D7801" w14:textId="77777777" w:rsidTr="00813A01">
        <w:trPr>
          <w:trHeight w:val="111"/>
        </w:trPr>
        <w:tc>
          <w:tcPr>
            <w:tcW w:w="29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A402EF" w14:textId="23198846" w:rsidR="008408BE" w:rsidRPr="00464B98" w:rsidRDefault="008408BE" w:rsidP="008408BE">
            <w:pPr>
              <w:pStyle w:val="ad"/>
              <w:jc w:val="center"/>
              <w:rPr>
                <w:rFonts w:ascii="Times New Roman" w:hAnsi="Times New Roman" w:cs="Times New Roman"/>
                <w:color w:val="000000"/>
                <w:sz w:val="24"/>
                <w:szCs w:val="24"/>
              </w:rPr>
            </w:pPr>
            <w:r w:rsidRPr="00464B98">
              <w:rPr>
                <w:rFonts w:ascii="Times New Roman" w:eastAsia="Times New Roman" w:hAnsi="Times New Roman" w:cs="Times New Roman"/>
                <w:b/>
                <w:bCs/>
                <w:sz w:val="24"/>
                <w:szCs w:val="24"/>
              </w:rPr>
              <w:t>Report #3</w:t>
            </w:r>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11566E" w14:textId="2953E44F" w:rsidR="008408BE" w:rsidRPr="00464B98" w:rsidRDefault="008408BE" w:rsidP="008408BE">
            <w:pPr>
              <w:pBdr>
                <w:top w:val="nil"/>
                <w:left w:val="nil"/>
                <w:bottom w:val="nil"/>
                <w:right w:val="nil"/>
                <w:between w:val="nil"/>
              </w:pBdr>
              <w:spacing w:after="120"/>
              <w:jc w:val="center"/>
              <w:rPr>
                <w:color w:val="000000"/>
              </w:rPr>
            </w:pPr>
            <w:r w:rsidRPr="00464B98">
              <w:rPr>
                <w:color w:val="000000"/>
              </w:rPr>
              <w:t>20%</w:t>
            </w:r>
          </w:p>
        </w:tc>
      </w:tr>
      <w:tr w:rsidR="008408BE" w:rsidRPr="00464B98" w14:paraId="12E80B61" w14:textId="77777777" w:rsidTr="00813A01">
        <w:trPr>
          <w:trHeight w:val="105"/>
        </w:trPr>
        <w:tc>
          <w:tcPr>
            <w:tcW w:w="29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618121" w14:textId="44388491" w:rsidR="008408BE" w:rsidRPr="00464B98" w:rsidRDefault="008408BE" w:rsidP="008408BE">
            <w:pPr>
              <w:pStyle w:val="ad"/>
              <w:jc w:val="center"/>
              <w:rPr>
                <w:rFonts w:ascii="Times New Roman" w:hAnsi="Times New Roman" w:cs="Times New Roman"/>
                <w:color w:val="000000"/>
                <w:sz w:val="24"/>
                <w:szCs w:val="24"/>
              </w:rPr>
            </w:pPr>
            <w:r w:rsidRPr="00464B98">
              <w:rPr>
                <w:rFonts w:ascii="Times New Roman" w:eastAsia="Times New Roman" w:hAnsi="Times New Roman" w:cs="Times New Roman"/>
                <w:b/>
                <w:bCs/>
                <w:sz w:val="24"/>
                <w:szCs w:val="24"/>
              </w:rPr>
              <w:t>Report #4</w:t>
            </w:r>
          </w:p>
        </w:tc>
        <w:tc>
          <w:tcPr>
            <w:tcW w:w="6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A37C65" w14:textId="19210E31" w:rsidR="008408BE" w:rsidRPr="00464B98" w:rsidRDefault="008408BE" w:rsidP="008408BE">
            <w:pPr>
              <w:pBdr>
                <w:top w:val="nil"/>
                <w:left w:val="nil"/>
                <w:bottom w:val="nil"/>
                <w:right w:val="nil"/>
                <w:between w:val="nil"/>
              </w:pBdr>
              <w:spacing w:after="120"/>
              <w:jc w:val="center"/>
              <w:rPr>
                <w:color w:val="000000"/>
              </w:rPr>
            </w:pPr>
            <w:r w:rsidRPr="00464B98">
              <w:rPr>
                <w:color w:val="000000"/>
              </w:rPr>
              <w:t>30%</w:t>
            </w:r>
          </w:p>
        </w:tc>
      </w:tr>
    </w:tbl>
    <w:p w14:paraId="6B095629" w14:textId="77777777" w:rsidR="00E31D8A" w:rsidRPr="00464B98" w:rsidRDefault="00E31D8A" w:rsidP="007C63BA">
      <w:pPr>
        <w:widowControl w:val="0"/>
        <w:pBdr>
          <w:top w:val="nil"/>
          <w:left w:val="nil"/>
          <w:bottom w:val="nil"/>
          <w:right w:val="nil"/>
          <w:between w:val="nil"/>
        </w:pBdr>
        <w:spacing w:after="120"/>
        <w:ind w:left="216" w:hanging="216"/>
        <w:rPr>
          <w:b/>
          <w:color w:val="000000"/>
        </w:rPr>
      </w:pPr>
    </w:p>
    <w:p w14:paraId="603B5F80" w14:textId="66C6C085" w:rsidR="00E31D8A" w:rsidRPr="00464B98" w:rsidRDefault="00186A81" w:rsidP="00B048E4">
      <w:pPr>
        <w:numPr>
          <w:ilvl w:val="0"/>
          <w:numId w:val="2"/>
        </w:numPr>
        <w:pBdr>
          <w:top w:val="nil"/>
          <w:left w:val="nil"/>
          <w:bottom w:val="nil"/>
          <w:right w:val="nil"/>
          <w:between w:val="nil"/>
        </w:pBdr>
        <w:tabs>
          <w:tab w:val="left" w:pos="426"/>
        </w:tabs>
        <w:spacing w:after="120"/>
        <w:rPr>
          <w:b/>
          <w:color w:val="000000"/>
        </w:rPr>
      </w:pPr>
      <w:r w:rsidRPr="00464B98">
        <w:rPr>
          <w:b/>
          <w:color w:val="000000"/>
        </w:rPr>
        <w:t xml:space="preserve"> </w:t>
      </w:r>
      <w:r w:rsidR="008408BE" w:rsidRPr="00464B98">
        <w:rPr>
          <w:b/>
          <w:color w:val="000000"/>
        </w:rPr>
        <w:t>IMPLEMENTATION PERIOD</w:t>
      </w:r>
    </w:p>
    <w:p w14:paraId="60CB8E09" w14:textId="0EB51966" w:rsidR="00E31D8A" w:rsidRPr="00464B98" w:rsidRDefault="008408BE" w:rsidP="007C63BA">
      <w:pPr>
        <w:pBdr>
          <w:top w:val="nil"/>
          <w:left w:val="nil"/>
          <w:bottom w:val="nil"/>
          <w:right w:val="nil"/>
          <w:between w:val="nil"/>
        </w:pBdr>
        <w:spacing w:after="120"/>
        <w:jc w:val="both"/>
        <w:rPr>
          <w:color w:val="000000"/>
        </w:rPr>
      </w:pPr>
      <w:r w:rsidRPr="00464B98">
        <w:rPr>
          <w:color w:val="000000"/>
        </w:rPr>
        <w:t>The Project implementation will last for 7 months from the date of commencement of the contract and 12 months of advisory support after completion of the main contract.</w:t>
      </w:r>
    </w:p>
    <w:p w14:paraId="7D38334D" w14:textId="70151BD0" w:rsidR="00813A01" w:rsidRPr="00464B98" w:rsidRDefault="00813A01" w:rsidP="007C63BA">
      <w:pPr>
        <w:pBdr>
          <w:top w:val="nil"/>
          <w:left w:val="nil"/>
          <w:bottom w:val="nil"/>
          <w:right w:val="nil"/>
          <w:between w:val="nil"/>
        </w:pBdr>
        <w:spacing w:after="120"/>
        <w:jc w:val="both"/>
        <w:rPr>
          <w:color w:val="000000"/>
        </w:rPr>
      </w:pPr>
    </w:p>
    <w:p w14:paraId="40B1DEA0" w14:textId="78037046" w:rsidR="00813A01" w:rsidRPr="00464B98" w:rsidRDefault="008408BE" w:rsidP="00B048E4">
      <w:pPr>
        <w:numPr>
          <w:ilvl w:val="0"/>
          <w:numId w:val="2"/>
        </w:numPr>
        <w:pBdr>
          <w:top w:val="nil"/>
          <w:left w:val="nil"/>
          <w:bottom w:val="nil"/>
          <w:right w:val="nil"/>
          <w:between w:val="nil"/>
        </w:pBdr>
        <w:tabs>
          <w:tab w:val="left" w:pos="426"/>
        </w:tabs>
        <w:spacing w:after="120"/>
        <w:rPr>
          <w:b/>
          <w:color w:val="000000"/>
        </w:rPr>
      </w:pPr>
      <w:r w:rsidRPr="00464B98">
        <w:rPr>
          <w:b/>
          <w:color w:val="000000"/>
        </w:rPr>
        <w:t>CLIENT’S INPUT</w:t>
      </w:r>
    </w:p>
    <w:p w14:paraId="02B6801D" w14:textId="1643EF2D" w:rsidR="00813A01" w:rsidRPr="00464B98" w:rsidRDefault="00D3741E" w:rsidP="00813A01">
      <w:pPr>
        <w:jc w:val="both"/>
      </w:pPr>
      <w:r w:rsidRPr="00464B98">
        <w:rPr>
          <w:color w:val="000000"/>
        </w:rPr>
        <w:t>The Financial Supervision and Financial Market Regulation Service will provide the necessary documents to ensure the effective implementation of the project objectives.</w:t>
      </w:r>
    </w:p>
    <w:p w14:paraId="74D8EABA" w14:textId="77777777" w:rsidR="00813A01" w:rsidRPr="00464B98" w:rsidRDefault="00813A01" w:rsidP="007C63BA">
      <w:pPr>
        <w:pBdr>
          <w:top w:val="nil"/>
          <w:left w:val="nil"/>
          <w:bottom w:val="nil"/>
          <w:right w:val="nil"/>
          <w:between w:val="nil"/>
        </w:pBdr>
        <w:spacing w:after="120"/>
        <w:jc w:val="both"/>
        <w:rPr>
          <w:color w:val="000000"/>
        </w:rPr>
      </w:pPr>
    </w:p>
    <w:p w14:paraId="4654133F" w14:textId="65680573" w:rsidR="00E31D8A" w:rsidRPr="00464B98" w:rsidRDefault="00D3741E" w:rsidP="00D3741E">
      <w:pPr>
        <w:numPr>
          <w:ilvl w:val="0"/>
          <w:numId w:val="2"/>
        </w:numPr>
        <w:pBdr>
          <w:top w:val="nil"/>
          <w:left w:val="nil"/>
          <w:bottom w:val="nil"/>
          <w:right w:val="nil"/>
          <w:between w:val="nil"/>
        </w:pBdr>
        <w:tabs>
          <w:tab w:val="left" w:pos="426"/>
        </w:tabs>
        <w:spacing w:after="120"/>
        <w:rPr>
          <w:b/>
          <w:color w:val="000000"/>
        </w:rPr>
      </w:pPr>
      <w:r w:rsidRPr="00464B98">
        <w:rPr>
          <w:b/>
          <w:color w:val="000000"/>
        </w:rPr>
        <w:t>QUALIFICATION REQUIREMENTS FOR CONSULTANT</w:t>
      </w:r>
    </w:p>
    <w:p w14:paraId="484F589B" w14:textId="1B6B6CB6" w:rsidR="006E1A3C" w:rsidRPr="00464B98" w:rsidRDefault="00D3741E" w:rsidP="003D2B9F">
      <w:pPr>
        <w:pBdr>
          <w:top w:val="nil"/>
          <w:left w:val="nil"/>
          <w:bottom w:val="nil"/>
          <w:right w:val="nil"/>
          <w:between w:val="nil"/>
        </w:pBdr>
        <w:spacing w:after="120"/>
        <w:jc w:val="both"/>
      </w:pPr>
      <w:r w:rsidRPr="00464B98">
        <w:t>At the Expressions of Interest stage, the Consultant must meet the following minimum requirements:</w:t>
      </w:r>
    </w:p>
    <w:p w14:paraId="4B3A555F" w14:textId="0104CAAD" w:rsidR="00D3741E" w:rsidRPr="00840014" w:rsidRDefault="00D3741E" w:rsidP="1AFBC361">
      <w:pPr>
        <w:pBdr>
          <w:top w:val="nil"/>
          <w:left w:val="nil"/>
          <w:bottom w:val="nil"/>
          <w:right w:val="nil"/>
          <w:between w:val="nil"/>
        </w:pBdr>
        <w:spacing w:after="120"/>
        <w:jc w:val="both"/>
      </w:pPr>
      <w:r w:rsidRPr="1AFBC361">
        <w:rPr>
          <w:b/>
          <w:bCs/>
        </w:rPr>
        <w:t>1. Experience in insurance and/or reinsurance management:</w:t>
      </w:r>
      <w:r>
        <w:t xml:space="preserve"> Proven experience in completing at least two (2) similar projects over the past 5 years related to</w:t>
      </w:r>
      <w:r w:rsidR="7C3C3108">
        <w:t xml:space="preserve"> </w:t>
      </w:r>
      <w:r w:rsidR="5FC679C1">
        <w:t>d</w:t>
      </w:r>
      <w:r>
        <w:t>eveloping reinsurance strategies</w:t>
      </w:r>
      <w:r w:rsidR="0BADEB89">
        <w:t xml:space="preserve"> for national-level insurance programs.</w:t>
      </w:r>
    </w:p>
    <w:p w14:paraId="08EDA4E7" w14:textId="075AE771" w:rsidR="00D3741E" w:rsidRPr="00D3741E" w:rsidRDefault="00D3741E" w:rsidP="00D3741E">
      <w:pPr>
        <w:pBdr>
          <w:top w:val="nil"/>
          <w:left w:val="nil"/>
          <w:bottom w:val="nil"/>
          <w:right w:val="nil"/>
          <w:between w:val="nil"/>
        </w:pBdr>
        <w:spacing w:after="120"/>
        <w:jc w:val="both"/>
      </w:pPr>
      <w:r w:rsidRPr="00D3741E">
        <w:t xml:space="preserve">2. </w:t>
      </w:r>
      <w:r w:rsidRPr="00D3741E">
        <w:rPr>
          <w:b/>
          <w:bCs/>
        </w:rPr>
        <w:t>Proven experience in interacting with government agencies, financial regulators, or state insurance organizations</w:t>
      </w:r>
      <w:r w:rsidRPr="00D3741E">
        <w:t>.</w:t>
      </w:r>
    </w:p>
    <w:p w14:paraId="1FDBD9B5" w14:textId="39116E44" w:rsidR="00D3741E" w:rsidRPr="00D3741E" w:rsidRDefault="00D3741E" w:rsidP="1AFBC361">
      <w:pPr>
        <w:pBdr>
          <w:top w:val="nil"/>
          <w:left w:val="nil"/>
          <w:bottom w:val="nil"/>
          <w:right w:val="nil"/>
          <w:between w:val="nil"/>
        </w:pBdr>
        <w:spacing w:after="120"/>
        <w:jc w:val="both"/>
      </w:pPr>
      <w:r w:rsidRPr="1AFBC361">
        <w:rPr>
          <w:b/>
          <w:bCs/>
        </w:rPr>
        <w:t>3. Experience in analytical and methodological support of insurance and reinsurance processes:</w:t>
      </w:r>
      <w:r>
        <w:t xml:space="preserve"> Proven experience in at least two (2) projects </w:t>
      </w:r>
      <w:r w:rsidR="029D915C">
        <w:t xml:space="preserve">involving the assessment of reinsurance structures, development of outward reinsurance strategies, preparation of market‑engagement materials for reinsurers and brokers, and/or the design of institutional and operational frameworks for reinsurance procurement and implementation. </w:t>
      </w:r>
    </w:p>
    <w:p w14:paraId="5F730BB1" w14:textId="77777777" w:rsidR="00D3741E" w:rsidRPr="00D3741E" w:rsidRDefault="00D3741E" w:rsidP="00D3741E">
      <w:pPr>
        <w:pBdr>
          <w:top w:val="nil"/>
          <w:left w:val="nil"/>
          <w:bottom w:val="nil"/>
          <w:right w:val="nil"/>
          <w:between w:val="nil"/>
        </w:pBdr>
        <w:spacing w:after="120"/>
        <w:jc w:val="both"/>
        <w:rPr>
          <w:b/>
          <w:bCs/>
          <w:color w:val="000000"/>
        </w:rPr>
      </w:pPr>
      <w:r w:rsidRPr="00D3741E">
        <w:rPr>
          <w:b/>
          <w:bCs/>
          <w:color w:val="000000"/>
        </w:rPr>
        <w:lastRenderedPageBreak/>
        <w:t>Evaluation of the technical proposal (at the technical proposal stage)</w:t>
      </w:r>
    </w:p>
    <w:p w14:paraId="5B9474A5" w14:textId="77777777" w:rsidR="00D3741E" w:rsidRPr="00D3741E" w:rsidRDefault="00D3741E" w:rsidP="00D3741E">
      <w:pPr>
        <w:pBdr>
          <w:top w:val="nil"/>
          <w:left w:val="nil"/>
          <w:bottom w:val="nil"/>
          <w:right w:val="nil"/>
          <w:between w:val="nil"/>
        </w:pBdr>
        <w:spacing w:after="120"/>
        <w:jc w:val="both"/>
        <w:rPr>
          <w:color w:val="000000"/>
        </w:rPr>
      </w:pPr>
      <w:r w:rsidRPr="00D3741E">
        <w:rPr>
          <w:color w:val="000000"/>
        </w:rPr>
        <w:t>The number of scores assigned to each of the listed positions should be determined taking into account two sub-criteria and the corresponding percentage share:</w:t>
      </w:r>
    </w:p>
    <w:p w14:paraId="694BB4A2" w14:textId="6CBFE9B0" w:rsidR="00D3741E" w:rsidRPr="00D3741E" w:rsidRDefault="00D3741E" w:rsidP="1AFBC361">
      <w:pPr>
        <w:numPr>
          <w:ilvl w:val="0"/>
          <w:numId w:val="16"/>
        </w:numPr>
        <w:pBdr>
          <w:top w:val="nil"/>
          <w:left w:val="nil"/>
          <w:bottom w:val="nil"/>
          <w:right w:val="nil"/>
          <w:between w:val="nil"/>
        </w:pBdr>
        <w:spacing w:after="120" w:line="259" w:lineRule="auto"/>
        <w:contextualSpacing/>
        <w:jc w:val="both"/>
        <w:rPr>
          <w:rFonts w:eastAsiaTheme="minorEastAsia"/>
          <w:color w:val="000000"/>
        </w:rPr>
      </w:pPr>
      <w:r w:rsidRPr="1AFBC361">
        <w:rPr>
          <w:rFonts w:eastAsiaTheme="minorEastAsia"/>
          <w:color w:val="000000" w:themeColor="text1"/>
        </w:rPr>
        <w:t xml:space="preserve">Methodology and work plan - </w:t>
      </w:r>
      <w:r w:rsidR="4C587E98" w:rsidRPr="1AFBC361">
        <w:rPr>
          <w:rFonts w:eastAsiaTheme="minorEastAsia"/>
          <w:color w:val="000000" w:themeColor="text1"/>
        </w:rPr>
        <w:t>3</w:t>
      </w:r>
      <w:r w:rsidRPr="1AFBC361">
        <w:rPr>
          <w:rFonts w:eastAsiaTheme="minorEastAsia"/>
          <w:color w:val="000000" w:themeColor="text1"/>
        </w:rPr>
        <w:t>0%</w:t>
      </w:r>
    </w:p>
    <w:p w14:paraId="185D8AC3" w14:textId="1974ED9D" w:rsidR="00D3741E" w:rsidRPr="00D3741E" w:rsidRDefault="00D3741E" w:rsidP="1AFBC361">
      <w:pPr>
        <w:numPr>
          <w:ilvl w:val="0"/>
          <w:numId w:val="16"/>
        </w:numPr>
        <w:pBdr>
          <w:top w:val="nil"/>
          <w:left w:val="nil"/>
          <w:bottom w:val="nil"/>
          <w:right w:val="nil"/>
          <w:between w:val="nil"/>
        </w:pBdr>
        <w:spacing w:after="120" w:line="259" w:lineRule="auto"/>
        <w:contextualSpacing/>
        <w:jc w:val="both"/>
        <w:rPr>
          <w:rFonts w:eastAsiaTheme="minorEastAsia"/>
          <w:color w:val="000000"/>
        </w:rPr>
      </w:pPr>
      <w:r w:rsidRPr="1AFBC361">
        <w:rPr>
          <w:rFonts w:eastAsiaTheme="minorEastAsia"/>
          <w:color w:val="000000" w:themeColor="text1"/>
        </w:rPr>
        <w:t xml:space="preserve">Experience and qualifications of key personnel - </w:t>
      </w:r>
      <w:r w:rsidR="22FD47C8" w:rsidRPr="1AFBC361">
        <w:rPr>
          <w:rFonts w:eastAsiaTheme="minorEastAsia"/>
          <w:color w:val="000000" w:themeColor="text1"/>
        </w:rPr>
        <w:t>7</w:t>
      </w:r>
      <w:r w:rsidRPr="1AFBC361">
        <w:rPr>
          <w:rFonts w:eastAsiaTheme="minorEastAsia"/>
          <w:color w:val="000000" w:themeColor="text1"/>
        </w:rPr>
        <w:t>0%</w:t>
      </w:r>
    </w:p>
    <w:p w14:paraId="72D9178A" w14:textId="77777777" w:rsidR="00BD6397" w:rsidRPr="00464B98" w:rsidRDefault="00BD6397" w:rsidP="00BD6397">
      <w:pPr>
        <w:pBdr>
          <w:top w:val="nil"/>
          <w:left w:val="nil"/>
          <w:bottom w:val="nil"/>
          <w:right w:val="nil"/>
          <w:between w:val="nil"/>
        </w:pBdr>
        <w:spacing w:after="120"/>
        <w:ind w:left="720"/>
        <w:jc w:val="both"/>
        <w:rPr>
          <w:color w:val="000000"/>
        </w:rPr>
      </w:pPr>
    </w:p>
    <w:p w14:paraId="465C0E19" w14:textId="77777777" w:rsidR="00D3741E" w:rsidRPr="00D3741E" w:rsidRDefault="00D3741E" w:rsidP="00D3741E">
      <w:pPr>
        <w:pBdr>
          <w:top w:val="nil"/>
          <w:left w:val="nil"/>
          <w:bottom w:val="nil"/>
          <w:right w:val="nil"/>
          <w:between w:val="nil"/>
        </w:pBdr>
        <w:spacing w:after="120"/>
        <w:jc w:val="both"/>
        <w:rPr>
          <w:b/>
          <w:bCs/>
          <w:color w:val="000000"/>
        </w:rPr>
      </w:pPr>
      <w:r w:rsidRPr="00D3741E">
        <w:rPr>
          <w:b/>
          <w:bCs/>
          <w:color w:val="000000"/>
        </w:rPr>
        <w:t>Qualification requirements for key personnel (at the technical proposal stage)</w:t>
      </w:r>
    </w:p>
    <w:p w14:paraId="363A4272" w14:textId="77777777" w:rsidR="00D3741E" w:rsidRPr="00D3741E" w:rsidRDefault="00D3741E" w:rsidP="00D3741E">
      <w:pPr>
        <w:pBdr>
          <w:top w:val="nil"/>
          <w:left w:val="nil"/>
          <w:bottom w:val="nil"/>
          <w:right w:val="nil"/>
          <w:between w:val="nil"/>
        </w:pBdr>
        <w:spacing w:after="120"/>
        <w:jc w:val="both"/>
      </w:pPr>
      <w:r w:rsidRPr="00D3741E">
        <w:t>The Consultant's team shall consist of at least one team leader, an expert in reinsurance/catastrophic risk management, a financial/actuarial expert, and a local project coordinator.</w:t>
      </w:r>
    </w:p>
    <w:p w14:paraId="7413D94A" w14:textId="77777777" w:rsidR="00D3741E" w:rsidRPr="00D3741E" w:rsidRDefault="00D3741E" w:rsidP="00D3741E">
      <w:pPr>
        <w:pBdr>
          <w:top w:val="nil"/>
          <w:left w:val="nil"/>
          <w:bottom w:val="nil"/>
          <w:right w:val="nil"/>
          <w:between w:val="nil"/>
        </w:pBdr>
        <w:spacing w:after="120"/>
        <w:jc w:val="both"/>
      </w:pPr>
    </w:p>
    <w:p w14:paraId="028FFA0F" w14:textId="77777777" w:rsidR="00D3741E" w:rsidRPr="00464B98" w:rsidRDefault="00D3741E" w:rsidP="00D3741E">
      <w:pPr>
        <w:pBdr>
          <w:top w:val="nil"/>
          <w:left w:val="nil"/>
          <w:bottom w:val="nil"/>
          <w:right w:val="nil"/>
          <w:between w:val="nil"/>
        </w:pBdr>
        <w:spacing w:after="120"/>
        <w:jc w:val="both"/>
        <w:rPr>
          <w:b/>
          <w:bCs/>
          <w:color w:val="000000"/>
        </w:rPr>
      </w:pPr>
      <w:r w:rsidRPr="00464B98">
        <w:rPr>
          <w:b/>
          <w:bCs/>
          <w:color w:val="000000"/>
        </w:rPr>
        <w:t>Key personnel evaluation criteria</w:t>
      </w:r>
    </w:p>
    <w:p w14:paraId="6878B20A" w14:textId="77777777" w:rsidR="00D3741E" w:rsidRPr="00464B98" w:rsidRDefault="00D3741E" w:rsidP="00D3741E">
      <w:pPr>
        <w:pBdr>
          <w:top w:val="nil"/>
          <w:left w:val="nil"/>
          <w:bottom w:val="nil"/>
          <w:right w:val="nil"/>
          <w:between w:val="nil"/>
        </w:pBdr>
        <w:spacing w:after="120"/>
        <w:jc w:val="both"/>
        <w:rPr>
          <w:color w:val="000000"/>
        </w:rPr>
      </w:pPr>
      <w:r w:rsidRPr="00464B98">
        <w:rPr>
          <w:color w:val="000000"/>
        </w:rPr>
        <w:t>During the evaluation of the technical proposal and key personnel qualifications, the Consultant will need to demonstrate that it has personnel with the relevant experience and qualifications as specified below.</w:t>
      </w:r>
    </w:p>
    <w:p w14:paraId="6D08F976" w14:textId="77777777" w:rsidR="003909CF" w:rsidRPr="00464B98" w:rsidRDefault="003909CF" w:rsidP="0030657F">
      <w:pPr>
        <w:pBdr>
          <w:top w:val="nil"/>
          <w:left w:val="nil"/>
          <w:bottom w:val="nil"/>
          <w:right w:val="nil"/>
          <w:between w:val="nil"/>
        </w:pBdr>
        <w:spacing w:after="120"/>
        <w:jc w:val="both"/>
        <w:rPr>
          <w:color w:val="000000"/>
        </w:rPr>
      </w:pPr>
    </w:p>
    <w:tbl>
      <w:tblPr>
        <w:tblW w:w="9690"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10"/>
        <w:gridCol w:w="1615"/>
        <w:gridCol w:w="2126"/>
        <w:gridCol w:w="1843"/>
        <w:gridCol w:w="2693"/>
        <w:gridCol w:w="903"/>
      </w:tblGrid>
      <w:tr w:rsidR="00D3741E" w:rsidRPr="00464B98" w14:paraId="2CE4C846" w14:textId="77777777" w:rsidTr="00B9536C">
        <w:trPr>
          <w:trHeight w:val="527"/>
        </w:trPr>
        <w:tc>
          <w:tcPr>
            <w:tcW w:w="5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77C05052" w14:textId="77777777" w:rsidR="00D3741E" w:rsidRPr="00464B98" w:rsidRDefault="00D3741E" w:rsidP="00144CBA">
            <w:pPr>
              <w:widowControl w:val="0"/>
              <w:pBdr>
                <w:top w:val="nil"/>
                <w:left w:val="nil"/>
                <w:bottom w:val="nil"/>
                <w:right w:val="nil"/>
                <w:between w:val="nil"/>
              </w:pBdr>
              <w:jc w:val="center"/>
              <w:rPr>
                <w:color w:val="000000"/>
              </w:rPr>
            </w:pPr>
            <w:r w:rsidRPr="00464B98">
              <w:rPr>
                <w:color w:val="000000"/>
              </w:rPr>
              <w:t>#</w:t>
            </w:r>
          </w:p>
        </w:tc>
        <w:tc>
          <w:tcPr>
            <w:tcW w:w="16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27D645EA" w14:textId="77777777" w:rsidR="00D3741E" w:rsidRPr="00464B98" w:rsidRDefault="00D3741E" w:rsidP="00144CBA">
            <w:pPr>
              <w:widowControl w:val="0"/>
              <w:pBdr>
                <w:top w:val="nil"/>
                <w:left w:val="nil"/>
                <w:bottom w:val="nil"/>
                <w:right w:val="nil"/>
                <w:between w:val="nil"/>
              </w:pBdr>
              <w:jc w:val="center"/>
              <w:rPr>
                <w:color w:val="000000"/>
              </w:rPr>
            </w:pPr>
            <w:r w:rsidRPr="00464B98">
              <w:rPr>
                <w:b/>
                <w:color w:val="000000"/>
              </w:rPr>
              <w:t>Position</w:t>
            </w:r>
          </w:p>
        </w:tc>
        <w:tc>
          <w:tcPr>
            <w:tcW w:w="2126"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6244D9AE" w14:textId="77777777" w:rsidR="00D3741E" w:rsidRPr="00464B98" w:rsidRDefault="00D3741E" w:rsidP="00144CBA">
            <w:pPr>
              <w:pBdr>
                <w:top w:val="nil"/>
                <w:left w:val="nil"/>
                <w:bottom w:val="nil"/>
                <w:right w:val="nil"/>
                <w:between w:val="nil"/>
              </w:pBdr>
              <w:jc w:val="center"/>
              <w:rPr>
                <w:b/>
                <w:color w:val="000000"/>
              </w:rPr>
            </w:pPr>
            <w:r w:rsidRPr="00464B98">
              <w:rPr>
                <w:b/>
                <w:color w:val="000000"/>
              </w:rPr>
              <w:t>General qualification</w:t>
            </w:r>
          </w:p>
          <w:p w14:paraId="065FC07B" w14:textId="77777777" w:rsidR="00D3741E" w:rsidRPr="00464B98" w:rsidRDefault="00D3741E" w:rsidP="00144CBA">
            <w:pPr>
              <w:pBdr>
                <w:top w:val="nil"/>
                <w:left w:val="nil"/>
                <w:bottom w:val="nil"/>
                <w:right w:val="nil"/>
                <w:between w:val="nil"/>
              </w:pBdr>
              <w:jc w:val="center"/>
              <w:rPr>
                <w:color w:val="000000"/>
              </w:rPr>
            </w:pPr>
            <w:r w:rsidRPr="00464B98">
              <w:rPr>
                <w:b/>
                <w:color w:val="000000"/>
              </w:rPr>
              <w:t>30%</w:t>
            </w:r>
          </w:p>
        </w:tc>
        <w:tc>
          <w:tcPr>
            <w:tcW w:w="1843"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2267E11D" w14:textId="77777777" w:rsidR="00D3741E" w:rsidRPr="00464B98" w:rsidRDefault="00D3741E" w:rsidP="00144CBA">
            <w:pPr>
              <w:pBdr>
                <w:top w:val="nil"/>
                <w:left w:val="nil"/>
                <w:bottom w:val="nil"/>
                <w:right w:val="nil"/>
                <w:between w:val="nil"/>
              </w:pBdr>
              <w:jc w:val="center"/>
              <w:rPr>
                <w:b/>
                <w:color w:val="000000"/>
              </w:rPr>
            </w:pPr>
            <w:r w:rsidRPr="00464B98">
              <w:rPr>
                <w:b/>
                <w:color w:val="000000"/>
              </w:rPr>
              <w:t>General experience</w:t>
            </w:r>
          </w:p>
          <w:p w14:paraId="0633D261" w14:textId="77777777" w:rsidR="00D3741E" w:rsidRPr="00464B98" w:rsidRDefault="00D3741E" w:rsidP="00144CBA">
            <w:pPr>
              <w:pBdr>
                <w:top w:val="nil"/>
                <w:left w:val="nil"/>
                <w:bottom w:val="nil"/>
                <w:right w:val="nil"/>
                <w:between w:val="nil"/>
              </w:pBdr>
              <w:jc w:val="center"/>
              <w:rPr>
                <w:color w:val="000000"/>
              </w:rPr>
            </w:pPr>
            <w:r w:rsidRPr="00464B98">
              <w:rPr>
                <w:b/>
                <w:color w:val="000000"/>
              </w:rPr>
              <w:t>30%</w:t>
            </w:r>
          </w:p>
        </w:tc>
        <w:tc>
          <w:tcPr>
            <w:tcW w:w="269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0D1A9999" w14:textId="77777777" w:rsidR="00D3741E" w:rsidRPr="00464B98" w:rsidRDefault="00D3741E" w:rsidP="00144CBA">
            <w:pPr>
              <w:pBdr>
                <w:top w:val="nil"/>
                <w:left w:val="nil"/>
                <w:bottom w:val="nil"/>
                <w:right w:val="nil"/>
                <w:between w:val="nil"/>
              </w:pBdr>
              <w:jc w:val="center"/>
              <w:rPr>
                <w:b/>
                <w:color w:val="000000"/>
              </w:rPr>
            </w:pPr>
            <w:r w:rsidRPr="00464B98">
              <w:rPr>
                <w:b/>
                <w:color w:val="000000"/>
              </w:rPr>
              <w:t>Specific experience</w:t>
            </w:r>
          </w:p>
          <w:p w14:paraId="50834B90" w14:textId="77777777" w:rsidR="00D3741E" w:rsidRPr="00464B98" w:rsidRDefault="00D3741E" w:rsidP="00144CBA">
            <w:pPr>
              <w:pBdr>
                <w:top w:val="nil"/>
                <w:left w:val="nil"/>
                <w:bottom w:val="nil"/>
                <w:right w:val="nil"/>
                <w:between w:val="nil"/>
              </w:pBdr>
              <w:jc w:val="center"/>
              <w:rPr>
                <w:color w:val="000000"/>
              </w:rPr>
            </w:pPr>
            <w:r w:rsidRPr="00464B98">
              <w:rPr>
                <w:b/>
                <w:color w:val="000000"/>
              </w:rPr>
              <w:t>40%</w:t>
            </w:r>
          </w:p>
        </w:tc>
        <w:tc>
          <w:tcPr>
            <w:tcW w:w="90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7F6AA01" w14:textId="77777777" w:rsidR="00D3741E" w:rsidRPr="00464B98" w:rsidRDefault="00D3741E" w:rsidP="00144CBA">
            <w:pPr>
              <w:pBdr>
                <w:top w:val="nil"/>
                <w:left w:val="nil"/>
                <w:bottom w:val="nil"/>
                <w:right w:val="nil"/>
                <w:between w:val="nil"/>
              </w:pBdr>
              <w:jc w:val="center"/>
              <w:rPr>
                <w:color w:val="000000"/>
              </w:rPr>
            </w:pPr>
            <w:r w:rsidRPr="00464B98">
              <w:rPr>
                <w:b/>
                <w:color w:val="000000"/>
              </w:rPr>
              <w:t>Scores</w:t>
            </w:r>
          </w:p>
        </w:tc>
      </w:tr>
    </w:tbl>
    <w:tbl>
      <w:tblPr>
        <w:tblStyle w:val="afff"/>
        <w:tblW w:w="9690"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10"/>
        <w:gridCol w:w="1615"/>
        <w:gridCol w:w="2126"/>
        <w:gridCol w:w="1843"/>
        <w:gridCol w:w="2693"/>
        <w:gridCol w:w="903"/>
      </w:tblGrid>
      <w:tr w:rsidR="00464B98" w:rsidRPr="00464B98" w14:paraId="518E8BD8" w14:textId="77777777" w:rsidTr="1AFBC361">
        <w:trPr>
          <w:trHeight w:val="1216"/>
        </w:trPr>
        <w:tc>
          <w:tcPr>
            <w:tcW w:w="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D006FC5" w14:textId="77777777" w:rsidR="00464B98" w:rsidRPr="00464B98" w:rsidRDefault="00464B98" w:rsidP="00464B98">
            <w:pPr>
              <w:widowControl w:val="0"/>
              <w:pBdr>
                <w:top w:val="nil"/>
                <w:left w:val="nil"/>
                <w:bottom w:val="nil"/>
                <w:right w:val="nil"/>
                <w:between w:val="nil"/>
              </w:pBdr>
              <w:rPr>
                <w:color w:val="000000"/>
              </w:rPr>
            </w:pPr>
            <w:r w:rsidRPr="00464B98">
              <w:rPr>
                <w:color w:val="000000"/>
              </w:rPr>
              <w:t>1.</w:t>
            </w:r>
          </w:p>
        </w:tc>
        <w:tc>
          <w:tcPr>
            <w:tcW w:w="1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4CC9855" w14:textId="3F52734B" w:rsidR="00464B98" w:rsidRPr="00464B98" w:rsidRDefault="00464B98" w:rsidP="00464B98">
            <w:pPr>
              <w:widowControl w:val="0"/>
              <w:pBdr>
                <w:top w:val="nil"/>
                <w:left w:val="nil"/>
                <w:bottom w:val="nil"/>
                <w:right w:val="nil"/>
                <w:between w:val="nil"/>
              </w:pBdr>
              <w:jc w:val="both"/>
              <w:rPr>
                <w:color w:val="000000"/>
              </w:rPr>
            </w:pPr>
            <w:r w:rsidRPr="00464B98">
              <w:t>Team Leader</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7FCBE76" w14:textId="6A567E3B" w:rsidR="00464B98" w:rsidRPr="00464B98" w:rsidRDefault="00464B98" w:rsidP="00464B98">
            <w:pPr>
              <w:widowControl w:val="0"/>
              <w:pBdr>
                <w:top w:val="nil"/>
                <w:left w:val="nil"/>
                <w:bottom w:val="nil"/>
                <w:right w:val="nil"/>
                <w:between w:val="nil"/>
              </w:pBdr>
              <w:jc w:val="both"/>
              <w:rPr>
                <w:color w:val="000000"/>
              </w:rPr>
            </w:pPr>
            <w:r w:rsidRPr="00464B98">
              <w:t>Higher education in finance/economics, insurance, or related professions.</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6237695" w14:textId="07EAEA8D" w:rsidR="00464B98" w:rsidRPr="00464B98" w:rsidRDefault="00464B98" w:rsidP="00464B98">
            <w:pPr>
              <w:widowControl w:val="0"/>
              <w:pBdr>
                <w:top w:val="nil"/>
                <w:left w:val="nil"/>
                <w:bottom w:val="nil"/>
                <w:right w:val="nil"/>
                <w:between w:val="nil"/>
              </w:pBdr>
              <w:jc w:val="both"/>
              <w:rPr>
                <w:color w:val="000000"/>
              </w:rPr>
            </w:pPr>
            <w:r w:rsidRPr="00464B98">
              <w:t>Project management experience – at least 5 years.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988F112" w14:textId="76F47B7F" w:rsidR="00464B98" w:rsidRPr="00464B98" w:rsidRDefault="00464B98" w:rsidP="00464B98">
            <w:pPr>
              <w:widowControl w:val="0"/>
              <w:pBdr>
                <w:top w:val="nil"/>
                <w:left w:val="nil"/>
                <w:bottom w:val="nil"/>
                <w:right w:val="nil"/>
                <w:between w:val="nil"/>
              </w:pBdr>
              <w:jc w:val="both"/>
              <w:rPr>
                <w:color w:val="000000"/>
              </w:rPr>
            </w:pPr>
            <w:r w:rsidRPr="00464B98">
              <w:rPr>
                <w:color w:val="000000"/>
              </w:rPr>
              <w:t>At least 5 years of experience in projects related to insurance/reinsurance. Experience in developing strategic documents or advising on government programs is an advantage.</w:t>
            </w:r>
          </w:p>
        </w:tc>
        <w:tc>
          <w:tcPr>
            <w:tcW w:w="9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5950931" w14:textId="5EB356CD" w:rsidR="00464B98" w:rsidRPr="00464B98" w:rsidRDefault="00464B98" w:rsidP="00464B98">
            <w:pPr>
              <w:widowControl w:val="0"/>
              <w:pBdr>
                <w:top w:val="nil"/>
                <w:left w:val="nil"/>
                <w:bottom w:val="nil"/>
                <w:right w:val="nil"/>
                <w:between w:val="nil"/>
              </w:pBdr>
              <w:jc w:val="center"/>
              <w:rPr>
                <w:color w:val="000000"/>
              </w:rPr>
            </w:pPr>
            <w:r w:rsidRPr="00464B98">
              <w:rPr>
                <w:color w:val="000000"/>
              </w:rPr>
              <w:t>20</w:t>
            </w:r>
          </w:p>
        </w:tc>
      </w:tr>
      <w:tr w:rsidR="00464B98" w:rsidRPr="00464B98" w14:paraId="65DE3479" w14:textId="77777777" w:rsidTr="1AFBC361">
        <w:trPr>
          <w:trHeight w:val="1792"/>
        </w:trPr>
        <w:tc>
          <w:tcPr>
            <w:tcW w:w="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497BEA6" w14:textId="77777777" w:rsidR="00464B98" w:rsidRPr="00464B98" w:rsidRDefault="00464B98" w:rsidP="00464B98">
            <w:pPr>
              <w:widowControl w:val="0"/>
              <w:pBdr>
                <w:top w:val="nil"/>
                <w:left w:val="nil"/>
                <w:bottom w:val="nil"/>
                <w:right w:val="nil"/>
                <w:between w:val="nil"/>
              </w:pBdr>
              <w:rPr>
                <w:color w:val="000000"/>
              </w:rPr>
            </w:pPr>
            <w:r w:rsidRPr="00464B98">
              <w:t>2.</w:t>
            </w:r>
          </w:p>
        </w:tc>
        <w:tc>
          <w:tcPr>
            <w:tcW w:w="1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C79D6B3" w14:textId="35CC706F" w:rsidR="00464B98" w:rsidRPr="00464B98" w:rsidRDefault="603240BC" w:rsidP="1AFBC361">
            <w:pPr>
              <w:widowControl w:val="0"/>
              <w:pBdr>
                <w:top w:val="nil"/>
                <w:left w:val="nil"/>
                <w:bottom w:val="nil"/>
                <w:right w:val="nil"/>
                <w:between w:val="nil"/>
              </w:pBdr>
              <w:jc w:val="both"/>
              <w:rPr>
                <w:color w:val="000000"/>
              </w:rPr>
            </w:pPr>
            <w:r>
              <w:t>Reinsurance/catastroph</w:t>
            </w:r>
            <w:r w:rsidR="66EDD44F">
              <w:t>e</w:t>
            </w:r>
            <w:r>
              <w:t xml:space="preserve"> risk management expert</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190AE1A" w14:textId="5C2AE1D0" w:rsidR="00464B98" w:rsidRPr="00464B98" w:rsidRDefault="00464B98" w:rsidP="00464B98">
            <w:pPr>
              <w:widowControl w:val="0"/>
              <w:pBdr>
                <w:top w:val="nil"/>
                <w:left w:val="nil"/>
                <w:bottom w:val="nil"/>
                <w:right w:val="nil"/>
                <w:between w:val="nil"/>
              </w:pBdr>
              <w:jc w:val="both"/>
              <w:rPr>
                <w:color w:val="000000"/>
              </w:rPr>
            </w:pPr>
            <w:r w:rsidRPr="00464B98">
              <w:t>Higher education in insurance, finance, or risk management</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673CA59" w14:textId="6DE9C36E" w:rsidR="00464B98" w:rsidRPr="00464B98" w:rsidRDefault="00464B98" w:rsidP="00464B98">
            <w:pPr>
              <w:widowControl w:val="0"/>
              <w:pBdr>
                <w:top w:val="nil"/>
                <w:left w:val="nil"/>
                <w:bottom w:val="nil"/>
                <w:right w:val="nil"/>
                <w:between w:val="nil"/>
              </w:pBdr>
              <w:jc w:val="both"/>
              <w:rPr>
                <w:color w:val="000000"/>
              </w:rPr>
            </w:pPr>
            <w:r w:rsidRPr="00464B98">
              <w:t>At least 7 years of experience in reinsurance or catastrophe risk insurance</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37069B5" w14:textId="75E3D827" w:rsidR="00464B98" w:rsidRPr="00464B98" w:rsidRDefault="00464B98" w:rsidP="00464B98">
            <w:pPr>
              <w:widowControl w:val="0"/>
              <w:pBdr>
                <w:top w:val="nil"/>
                <w:left w:val="nil"/>
                <w:bottom w:val="nil"/>
                <w:right w:val="nil"/>
                <w:between w:val="nil"/>
              </w:pBdr>
              <w:jc w:val="both"/>
              <w:rPr>
                <w:color w:val="000000"/>
              </w:rPr>
            </w:pPr>
            <w:r w:rsidRPr="00464B98">
              <w:rPr>
                <w:color w:val="000000"/>
              </w:rPr>
              <w:t>Experience in participating in projects involving the structuring or placement of reinsurance coverage, including for government programs or insurance pools, is a significant advantage.</w:t>
            </w:r>
          </w:p>
        </w:tc>
        <w:tc>
          <w:tcPr>
            <w:tcW w:w="9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A9449C1" w14:textId="54EE7509" w:rsidR="00464B98" w:rsidRPr="00464B98" w:rsidRDefault="00464B98" w:rsidP="00464B98">
            <w:pPr>
              <w:widowControl w:val="0"/>
              <w:pBdr>
                <w:top w:val="nil"/>
                <w:left w:val="nil"/>
                <w:bottom w:val="nil"/>
                <w:right w:val="nil"/>
                <w:between w:val="nil"/>
              </w:pBdr>
              <w:jc w:val="center"/>
              <w:rPr>
                <w:color w:val="000000"/>
              </w:rPr>
            </w:pPr>
            <w:r w:rsidRPr="00464B98">
              <w:rPr>
                <w:color w:val="000000"/>
              </w:rPr>
              <w:t>25</w:t>
            </w:r>
          </w:p>
        </w:tc>
      </w:tr>
      <w:tr w:rsidR="00464B98" w:rsidRPr="00464B98" w14:paraId="1C0F5C67" w14:textId="77777777" w:rsidTr="1AFBC361">
        <w:trPr>
          <w:trHeight w:val="1993"/>
        </w:trPr>
        <w:tc>
          <w:tcPr>
            <w:tcW w:w="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88FEB1D" w14:textId="77777777" w:rsidR="00464B98" w:rsidRPr="00464B98" w:rsidRDefault="00464B98" w:rsidP="00464B98">
            <w:pPr>
              <w:widowControl w:val="0"/>
              <w:pBdr>
                <w:top w:val="nil"/>
                <w:left w:val="nil"/>
                <w:bottom w:val="nil"/>
                <w:right w:val="nil"/>
                <w:between w:val="nil"/>
              </w:pBdr>
              <w:rPr>
                <w:color w:val="000000"/>
              </w:rPr>
            </w:pPr>
            <w:r w:rsidRPr="00464B98">
              <w:t>3</w:t>
            </w:r>
            <w:r w:rsidRPr="00464B98">
              <w:rPr>
                <w:color w:val="000000"/>
              </w:rPr>
              <w:t>.</w:t>
            </w:r>
          </w:p>
        </w:tc>
        <w:tc>
          <w:tcPr>
            <w:tcW w:w="1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43B7340" w14:textId="017B64C6" w:rsidR="00464B98" w:rsidRPr="00464B98" w:rsidRDefault="00464B98" w:rsidP="00464B98">
            <w:pPr>
              <w:widowControl w:val="0"/>
              <w:pBdr>
                <w:top w:val="nil"/>
                <w:left w:val="nil"/>
                <w:bottom w:val="nil"/>
                <w:right w:val="nil"/>
                <w:between w:val="nil"/>
              </w:pBdr>
              <w:jc w:val="both"/>
              <w:rPr>
                <w:color w:val="000000"/>
              </w:rPr>
            </w:pPr>
            <w:r w:rsidRPr="00464B98">
              <w:t>Financial/actuarial expert</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7C15589" w14:textId="67AE1A71" w:rsidR="00464B98" w:rsidRPr="00464B98" w:rsidRDefault="00464B98" w:rsidP="00464B98">
            <w:pPr>
              <w:widowControl w:val="0"/>
              <w:pBdr>
                <w:top w:val="nil"/>
                <w:left w:val="nil"/>
                <w:bottom w:val="nil"/>
                <w:right w:val="nil"/>
                <w:between w:val="nil"/>
              </w:pBdr>
              <w:jc w:val="both"/>
              <w:rPr>
                <w:color w:val="000000"/>
              </w:rPr>
            </w:pPr>
            <w:r w:rsidRPr="00464B98">
              <w:t>Higher education in finance, economics, and insurance.</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EFB4934" w14:textId="325C3352" w:rsidR="00464B98" w:rsidRPr="00464B98" w:rsidRDefault="00464B98" w:rsidP="00464B98">
            <w:pPr>
              <w:widowControl w:val="0"/>
              <w:pBdr>
                <w:top w:val="nil"/>
                <w:left w:val="nil"/>
                <w:bottom w:val="nil"/>
                <w:right w:val="nil"/>
                <w:between w:val="nil"/>
              </w:pBdr>
              <w:jc w:val="both"/>
              <w:rPr>
                <w:color w:val="000000"/>
              </w:rPr>
            </w:pPr>
            <w:r w:rsidRPr="00464B98">
              <w:t>At least 5 years of experience in financial analysis, risk modeling, or solvency assessment</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FE16BBC" w14:textId="7F022857" w:rsidR="00464B98" w:rsidRPr="00464B98" w:rsidRDefault="603240BC" w:rsidP="1AFBC361">
            <w:pPr>
              <w:widowControl w:val="0"/>
              <w:pBdr>
                <w:top w:val="nil"/>
                <w:left w:val="nil"/>
                <w:bottom w:val="nil"/>
                <w:right w:val="nil"/>
                <w:between w:val="nil"/>
              </w:pBdr>
              <w:jc w:val="both"/>
              <w:rPr>
                <w:color w:val="000000"/>
              </w:rPr>
            </w:pPr>
            <w:r w:rsidRPr="1AFBC361">
              <w:rPr>
                <w:color w:val="000000" w:themeColor="text1"/>
              </w:rPr>
              <w:t xml:space="preserve">Experience working with insurance or reinsurance portfolios, including loss analysis and risk </w:t>
            </w:r>
            <w:r w:rsidR="621AC163" w:rsidRPr="1AFBC361">
              <w:rPr>
                <w:color w:val="000000" w:themeColor="text1"/>
              </w:rPr>
              <w:t xml:space="preserve">instrument </w:t>
            </w:r>
            <w:r w:rsidRPr="1AFBC361">
              <w:rPr>
                <w:color w:val="000000" w:themeColor="text1"/>
              </w:rPr>
              <w:t>structur</w:t>
            </w:r>
            <w:r w:rsidR="0D1AA7DE" w:rsidRPr="1AFBC361">
              <w:rPr>
                <w:color w:val="000000" w:themeColor="text1"/>
              </w:rPr>
              <w:t>ing</w:t>
            </w:r>
            <w:r w:rsidRPr="1AFBC361">
              <w:rPr>
                <w:color w:val="000000" w:themeColor="text1"/>
              </w:rPr>
              <w:t>, is an advantage.</w:t>
            </w:r>
          </w:p>
        </w:tc>
        <w:tc>
          <w:tcPr>
            <w:tcW w:w="9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5EEFA90" w14:textId="60906B10" w:rsidR="00464B98" w:rsidRPr="00464B98" w:rsidRDefault="00464B98" w:rsidP="00464B98">
            <w:pPr>
              <w:widowControl w:val="0"/>
              <w:pBdr>
                <w:top w:val="nil"/>
                <w:left w:val="nil"/>
                <w:bottom w:val="nil"/>
                <w:right w:val="nil"/>
                <w:between w:val="nil"/>
              </w:pBdr>
              <w:jc w:val="center"/>
              <w:rPr>
                <w:color w:val="000000"/>
              </w:rPr>
            </w:pPr>
            <w:r w:rsidRPr="00464B98">
              <w:rPr>
                <w:color w:val="000000"/>
              </w:rPr>
              <w:t>25</w:t>
            </w:r>
          </w:p>
        </w:tc>
      </w:tr>
      <w:tr w:rsidR="00464B98" w:rsidRPr="00464B98" w14:paraId="4C47CED2" w14:textId="77777777" w:rsidTr="1AFBC361">
        <w:trPr>
          <w:trHeight w:val="1188"/>
        </w:trPr>
        <w:tc>
          <w:tcPr>
            <w:tcW w:w="5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4589916" w14:textId="77777777" w:rsidR="00464B98" w:rsidRPr="00464B98" w:rsidRDefault="00464B98" w:rsidP="00464B98">
            <w:pPr>
              <w:widowControl w:val="0"/>
              <w:pBdr>
                <w:top w:val="nil"/>
                <w:left w:val="nil"/>
                <w:bottom w:val="nil"/>
                <w:right w:val="nil"/>
                <w:between w:val="nil"/>
              </w:pBdr>
              <w:rPr>
                <w:color w:val="000000"/>
              </w:rPr>
            </w:pPr>
            <w:r w:rsidRPr="00464B98">
              <w:rPr>
                <w:color w:val="000000"/>
              </w:rPr>
              <w:lastRenderedPageBreak/>
              <w:t>4.</w:t>
            </w:r>
          </w:p>
        </w:tc>
        <w:tc>
          <w:tcPr>
            <w:tcW w:w="16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5F5A747" w14:textId="2389C05C" w:rsidR="00464B98" w:rsidRPr="00464B98" w:rsidRDefault="00464B98" w:rsidP="00464B98">
            <w:pPr>
              <w:widowControl w:val="0"/>
              <w:pBdr>
                <w:top w:val="nil"/>
                <w:left w:val="nil"/>
                <w:bottom w:val="nil"/>
                <w:right w:val="nil"/>
                <w:between w:val="nil"/>
              </w:pBdr>
              <w:jc w:val="both"/>
              <w:rPr>
                <w:color w:val="000000"/>
              </w:rPr>
            </w:pPr>
            <w:r w:rsidRPr="00464B98">
              <w:t>Local project coordinator</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C1F10CE" w14:textId="3A2FF07F" w:rsidR="00464B98" w:rsidRPr="00464B98" w:rsidRDefault="00464B98" w:rsidP="00464B98">
            <w:pPr>
              <w:widowControl w:val="0"/>
              <w:pBdr>
                <w:top w:val="nil"/>
                <w:left w:val="nil"/>
                <w:bottom w:val="nil"/>
                <w:right w:val="nil"/>
                <w:between w:val="nil"/>
              </w:pBdr>
              <w:jc w:val="both"/>
              <w:rPr>
                <w:color w:val="000000"/>
              </w:rPr>
            </w:pPr>
            <w:r w:rsidRPr="00464B98">
              <w:t>Higher education in finance, risk management, statistics, or related professions.</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ED489A7" w14:textId="5633634A" w:rsidR="00464B98" w:rsidRPr="00464B98" w:rsidRDefault="00464B98" w:rsidP="00464B98">
            <w:pPr>
              <w:widowControl w:val="0"/>
              <w:pBdr>
                <w:top w:val="nil"/>
                <w:left w:val="nil"/>
                <w:bottom w:val="nil"/>
                <w:right w:val="nil"/>
                <w:between w:val="nil"/>
              </w:pBdr>
              <w:jc w:val="both"/>
              <w:rPr>
                <w:color w:val="000000"/>
              </w:rPr>
            </w:pPr>
            <w:r w:rsidRPr="00464B98">
              <w:t>At least 3 years of experience in insurance, financial regulation, or related professions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17EE97B" w14:textId="77777777" w:rsidR="00464B98" w:rsidRPr="00464B98" w:rsidRDefault="00464B98" w:rsidP="00464B98">
            <w:pPr>
              <w:widowControl w:val="0"/>
              <w:pBdr>
                <w:top w:val="nil"/>
                <w:left w:val="nil"/>
                <w:bottom w:val="nil"/>
                <w:right w:val="nil"/>
                <w:between w:val="nil"/>
              </w:pBdr>
              <w:jc w:val="both"/>
              <w:rPr>
                <w:color w:val="000000"/>
              </w:rPr>
            </w:pPr>
            <w:r w:rsidRPr="00464B98">
              <w:rPr>
                <w:color w:val="000000"/>
              </w:rPr>
              <w:t>Fluency in Russian (required) and Kyrgyz will be a significant advantage.</w:t>
            </w:r>
          </w:p>
          <w:p w14:paraId="2CD00174" w14:textId="77777777" w:rsidR="00464B98" w:rsidRPr="00464B98" w:rsidRDefault="00464B98" w:rsidP="00464B98">
            <w:pPr>
              <w:widowControl w:val="0"/>
              <w:pBdr>
                <w:top w:val="nil"/>
                <w:left w:val="nil"/>
                <w:bottom w:val="nil"/>
                <w:right w:val="nil"/>
                <w:between w:val="nil"/>
              </w:pBdr>
              <w:jc w:val="both"/>
              <w:rPr>
                <w:color w:val="000000"/>
              </w:rPr>
            </w:pPr>
          </w:p>
          <w:p w14:paraId="3892219E" w14:textId="42D49D07" w:rsidR="00464B98" w:rsidRPr="00464B98" w:rsidRDefault="00464B98" w:rsidP="00464B98">
            <w:pPr>
              <w:widowControl w:val="0"/>
              <w:pBdr>
                <w:top w:val="nil"/>
                <w:left w:val="nil"/>
                <w:bottom w:val="nil"/>
                <w:right w:val="nil"/>
                <w:between w:val="nil"/>
              </w:pBdr>
              <w:jc w:val="both"/>
              <w:rPr>
                <w:color w:val="000000"/>
              </w:rPr>
            </w:pPr>
            <w:r w:rsidRPr="00464B98">
              <w:rPr>
                <w:color w:val="000000"/>
              </w:rPr>
              <w:t>Direct experience of working with governments and practical knowledge of institutional structures for large insurance/reinsurance programs is considered an advantage.</w:t>
            </w:r>
          </w:p>
        </w:tc>
        <w:tc>
          <w:tcPr>
            <w:tcW w:w="9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9206ECF" w14:textId="2A367F73" w:rsidR="00464B98" w:rsidRPr="00464B98" w:rsidRDefault="00464B98" w:rsidP="00464B98">
            <w:pPr>
              <w:widowControl w:val="0"/>
              <w:pBdr>
                <w:top w:val="nil"/>
                <w:left w:val="nil"/>
                <w:bottom w:val="nil"/>
                <w:right w:val="nil"/>
                <w:between w:val="nil"/>
              </w:pBdr>
              <w:jc w:val="center"/>
              <w:rPr>
                <w:color w:val="000000"/>
              </w:rPr>
            </w:pPr>
            <w:r w:rsidRPr="00464B98">
              <w:rPr>
                <w:color w:val="000000"/>
              </w:rPr>
              <w:t>30</w:t>
            </w:r>
          </w:p>
        </w:tc>
      </w:tr>
    </w:tbl>
    <w:p w14:paraId="6AEDE417" w14:textId="77777777" w:rsidR="00CD48C5" w:rsidRPr="00464B98" w:rsidRDefault="00CD48C5" w:rsidP="00F31D90">
      <w:pPr>
        <w:spacing w:after="120"/>
        <w:ind w:right="49"/>
        <w:rPr>
          <w:b/>
        </w:rPr>
      </w:pPr>
    </w:p>
    <w:p w14:paraId="0A8959A9" w14:textId="77777777" w:rsidR="00222A80" w:rsidRPr="00464B98" w:rsidRDefault="00222A80" w:rsidP="00F31D90">
      <w:pPr>
        <w:spacing w:after="120"/>
        <w:ind w:right="49"/>
        <w:rPr>
          <w:b/>
        </w:rPr>
      </w:pPr>
    </w:p>
    <w:p w14:paraId="3171000C" w14:textId="001E00F6" w:rsidR="009B6093" w:rsidRPr="00464B98" w:rsidRDefault="009B6093">
      <w:pPr>
        <w:rPr>
          <w:b/>
        </w:rPr>
      </w:pPr>
      <w:r w:rsidRPr="00464B98">
        <w:rPr>
          <w:b/>
        </w:rPr>
        <w:br w:type="page"/>
      </w:r>
    </w:p>
    <w:p w14:paraId="5F853605" w14:textId="1523E084" w:rsidR="009B6093" w:rsidRPr="009B6093" w:rsidRDefault="009B6093" w:rsidP="009B6093">
      <w:pPr>
        <w:spacing w:after="120"/>
        <w:ind w:right="49"/>
        <w:rPr>
          <w:b/>
        </w:rPr>
      </w:pPr>
      <w:r w:rsidRPr="009B6093">
        <w:rPr>
          <w:b/>
        </w:rPr>
        <w:lastRenderedPageBreak/>
        <w:t>Annex: Clarification Questions and Expected Outcome from the Reinsurance Strategy Assignment</w:t>
      </w:r>
    </w:p>
    <w:p w14:paraId="14763DBA" w14:textId="77777777" w:rsidR="009B6093" w:rsidRPr="009B6093" w:rsidRDefault="009B6093" w:rsidP="00464B98">
      <w:pPr>
        <w:spacing w:after="120"/>
        <w:ind w:right="49"/>
        <w:jc w:val="both"/>
        <w:rPr>
          <w:bCs/>
        </w:rPr>
      </w:pPr>
      <w:r w:rsidRPr="009B6093">
        <w:rPr>
          <w:bCs/>
        </w:rPr>
        <w:t xml:space="preserve">This annex outlines two sets of questions that provide the foundation for the </w:t>
      </w:r>
      <w:r w:rsidRPr="009B6093">
        <w:rPr>
          <w:bCs/>
          <w:i/>
          <w:iCs/>
        </w:rPr>
        <w:t xml:space="preserve">Development of Outward Reinsurance Strategy </w:t>
      </w:r>
      <w:r w:rsidRPr="009B6093">
        <w:rPr>
          <w:bCs/>
        </w:rPr>
        <w:t>to support the</w:t>
      </w:r>
      <w:r w:rsidRPr="009B6093">
        <w:rPr>
          <w:bCs/>
          <w:i/>
          <w:iCs/>
        </w:rPr>
        <w:t xml:space="preserve"> </w:t>
      </w:r>
      <w:r w:rsidRPr="009B6093">
        <w:rPr>
          <w:bCs/>
        </w:rPr>
        <w:t>mandatory insurance program. These questions are directly linked to the Terms of Reference (ToR) and are intended to guide engagement, scoping, and implementation.</w:t>
      </w:r>
    </w:p>
    <w:p w14:paraId="172ACF3B" w14:textId="77777777" w:rsidR="009B6093" w:rsidRPr="009B6093" w:rsidRDefault="009B6093" w:rsidP="00464B98">
      <w:pPr>
        <w:numPr>
          <w:ilvl w:val="0"/>
          <w:numId w:val="13"/>
        </w:numPr>
        <w:spacing w:after="120"/>
        <w:ind w:right="49"/>
        <w:jc w:val="both"/>
        <w:rPr>
          <w:bCs/>
        </w:rPr>
      </w:pPr>
      <w:r w:rsidRPr="009B6093">
        <w:rPr>
          <w:b/>
          <w:bCs/>
        </w:rPr>
        <w:fldChar w:fldCharType="begin"/>
      </w:r>
      <w:r w:rsidRPr="009B6093">
        <w:rPr>
          <w:b/>
          <w:bCs/>
        </w:rPr>
        <w:instrText xml:space="preserve"> REF _Ref198568273 \h  \* MERGEFORMAT </w:instrText>
      </w:r>
      <w:r w:rsidRPr="009B6093">
        <w:rPr>
          <w:b/>
          <w:bCs/>
        </w:rPr>
      </w:r>
      <w:r w:rsidRPr="009B6093">
        <w:rPr>
          <w:b/>
          <w:bCs/>
        </w:rPr>
        <w:fldChar w:fldCharType="separate"/>
      </w:r>
      <w:r w:rsidRPr="009B6093">
        <w:rPr>
          <w:b/>
          <w:bCs/>
        </w:rPr>
        <w:t>Table</w:t>
      </w:r>
      <w:r w:rsidRPr="009B6093">
        <w:rPr>
          <w:b/>
        </w:rPr>
        <w:t xml:space="preserve"> </w:t>
      </w:r>
      <w:r w:rsidRPr="009B6093">
        <w:rPr>
          <w:b/>
          <w:bCs/>
        </w:rPr>
        <w:t>2</w:t>
      </w:r>
      <w:r w:rsidRPr="009B6093">
        <w:rPr>
          <w:b/>
        </w:rPr>
        <w:fldChar w:fldCharType="end"/>
      </w:r>
      <w:r w:rsidRPr="009B6093">
        <w:rPr>
          <w:b/>
        </w:rPr>
        <w:t xml:space="preserve"> </w:t>
      </w:r>
      <w:r w:rsidRPr="009B6093">
        <w:rPr>
          <w:bCs/>
        </w:rPr>
        <w:t>lists clarifications to be provided by the Government and SIO before the consultancy commences. These inputs will be needed to establish an accurate baseline and ensuring the consultant can deliver on key aspects of the assignment.</w:t>
      </w:r>
    </w:p>
    <w:p w14:paraId="605CC8EC" w14:textId="77777777" w:rsidR="009B6093" w:rsidRPr="009B6093" w:rsidRDefault="009B6093" w:rsidP="00464B98">
      <w:pPr>
        <w:numPr>
          <w:ilvl w:val="0"/>
          <w:numId w:val="13"/>
        </w:numPr>
        <w:spacing w:after="120"/>
        <w:ind w:right="49"/>
        <w:jc w:val="both"/>
        <w:rPr>
          <w:bCs/>
        </w:rPr>
      </w:pPr>
      <w:r w:rsidRPr="009B6093">
        <w:rPr>
          <w:b/>
          <w:bCs/>
        </w:rPr>
        <w:fldChar w:fldCharType="begin"/>
      </w:r>
      <w:r w:rsidRPr="009B6093">
        <w:rPr>
          <w:b/>
          <w:bCs/>
        </w:rPr>
        <w:instrText xml:space="preserve"> REF _Ref198568285 \h  \* MERGEFORMAT </w:instrText>
      </w:r>
      <w:r w:rsidRPr="009B6093">
        <w:rPr>
          <w:b/>
          <w:bCs/>
        </w:rPr>
      </w:r>
      <w:r w:rsidRPr="009B6093">
        <w:rPr>
          <w:b/>
          <w:bCs/>
        </w:rPr>
        <w:fldChar w:fldCharType="separate"/>
      </w:r>
      <w:r w:rsidRPr="009B6093">
        <w:rPr>
          <w:b/>
          <w:bCs/>
        </w:rPr>
        <w:t>Table 3</w:t>
      </w:r>
      <w:r w:rsidRPr="009B6093">
        <w:rPr>
          <w:b/>
        </w:rPr>
        <w:fldChar w:fldCharType="end"/>
      </w:r>
      <w:r w:rsidRPr="009B6093">
        <w:rPr>
          <w:b/>
          <w:bCs/>
        </w:rPr>
        <w:t xml:space="preserve"> </w:t>
      </w:r>
      <w:r w:rsidRPr="009B6093">
        <w:rPr>
          <w:bCs/>
        </w:rPr>
        <w:t>outlines the critical policy, financial, and operational questions that the consultancy is expected to resolve through its technical work. These questions reflect the anticipated outcomes and deliverables of the ToR and will form the basis of an actionable, well-calibrated reinsurance strategy.</w:t>
      </w:r>
    </w:p>
    <w:tbl>
      <w:tblPr>
        <w:tblStyle w:val="-11"/>
        <w:tblW w:w="9634" w:type="dxa"/>
        <w:tblLayout w:type="fixed"/>
        <w:tblLook w:val="04A0" w:firstRow="1" w:lastRow="0" w:firstColumn="1" w:lastColumn="0" w:noHBand="0" w:noVBand="1"/>
      </w:tblPr>
      <w:tblGrid>
        <w:gridCol w:w="1577"/>
        <w:gridCol w:w="4372"/>
        <w:gridCol w:w="3685"/>
      </w:tblGrid>
      <w:tr w:rsidR="009B6093" w:rsidRPr="009B6093" w14:paraId="746FC429" w14:textId="77777777" w:rsidTr="00464B9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77" w:type="dxa"/>
            <w:shd w:val="clear" w:color="auto" w:fill="002060"/>
            <w:noWrap/>
            <w:hideMark/>
          </w:tcPr>
          <w:p w14:paraId="6294F24E" w14:textId="77777777" w:rsidR="009B6093" w:rsidRPr="009B6093" w:rsidRDefault="009B6093" w:rsidP="009B6093">
            <w:pPr>
              <w:spacing w:after="120"/>
              <w:ind w:right="49"/>
            </w:pPr>
            <w:r w:rsidRPr="009B6093">
              <w:t>Category</w:t>
            </w:r>
          </w:p>
        </w:tc>
        <w:tc>
          <w:tcPr>
            <w:tcW w:w="4372" w:type="dxa"/>
            <w:shd w:val="clear" w:color="auto" w:fill="002060"/>
            <w:noWrap/>
            <w:hideMark/>
          </w:tcPr>
          <w:p w14:paraId="07207BBF" w14:textId="77777777" w:rsidR="009B6093" w:rsidRPr="009B6093" w:rsidRDefault="009B6093" w:rsidP="009B6093">
            <w:pPr>
              <w:spacing w:after="120"/>
              <w:ind w:right="49"/>
              <w:cnfStyle w:val="100000000000" w:firstRow="1" w:lastRow="0" w:firstColumn="0" w:lastColumn="0" w:oddVBand="0" w:evenVBand="0" w:oddHBand="0" w:evenHBand="0" w:firstRowFirstColumn="0" w:firstRowLastColumn="0" w:lastRowFirstColumn="0" w:lastRowLastColumn="0"/>
            </w:pPr>
            <w:r w:rsidRPr="009B6093">
              <w:t>Clarification Question</w:t>
            </w:r>
          </w:p>
        </w:tc>
        <w:tc>
          <w:tcPr>
            <w:tcW w:w="3685" w:type="dxa"/>
            <w:shd w:val="clear" w:color="auto" w:fill="002060"/>
            <w:noWrap/>
            <w:hideMark/>
          </w:tcPr>
          <w:p w14:paraId="043806F6" w14:textId="77777777" w:rsidR="009B6093" w:rsidRPr="009B6093" w:rsidRDefault="009B6093" w:rsidP="009B6093">
            <w:pPr>
              <w:spacing w:after="120"/>
              <w:ind w:right="49"/>
              <w:cnfStyle w:val="100000000000" w:firstRow="1" w:lastRow="0" w:firstColumn="0" w:lastColumn="0" w:oddVBand="0" w:evenVBand="0" w:oddHBand="0" w:evenHBand="0" w:firstRowFirstColumn="0" w:firstRowLastColumn="0" w:lastRowFirstColumn="0" w:lastRowLastColumn="0"/>
            </w:pPr>
            <w:r w:rsidRPr="009B6093">
              <w:t>Why This Is Needed</w:t>
            </w:r>
          </w:p>
        </w:tc>
      </w:tr>
      <w:tr w:rsidR="009B6093" w:rsidRPr="009B6093" w14:paraId="4DB86B4B" w14:textId="77777777" w:rsidTr="00464B98">
        <w:trPr>
          <w:trHeight w:val="288"/>
        </w:trPr>
        <w:tc>
          <w:tcPr>
            <w:cnfStyle w:val="001000000000" w:firstRow="0" w:lastRow="0" w:firstColumn="1" w:lastColumn="0" w:oddVBand="0" w:evenVBand="0" w:oddHBand="0" w:evenHBand="0" w:firstRowFirstColumn="0" w:firstRowLastColumn="0" w:lastRowFirstColumn="0" w:lastRowLastColumn="0"/>
            <w:tcW w:w="1577" w:type="dxa"/>
            <w:vMerge w:val="restart"/>
            <w:noWrap/>
            <w:hideMark/>
          </w:tcPr>
          <w:p w14:paraId="7EC54CF4" w14:textId="77777777" w:rsidR="009B6093" w:rsidRPr="009B6093" w:rsidRDefault="009B6093" w:rsidP="009B6093">
            <w:pPr>
              <w:spacing w:after="120"/>
              <w:ind w:right="49"/>
            </w:pPr>
            <w:r w:rsidRPr="009B6093">
              <w:t>Strategic Direction and Institutional Mandate</w:t>
            </w:r>
          </w:p>
          <w:p w14:paraId="72263AC7" w14:textId="77777777" w:rsidR="009B6093" w:rsidRPr="009B6093" w:rsidRDefault="009B6093" w:rsidP="009B6093">
            <w:pPr>
              <w:spacing w:after="120"/>
              <w:ind w:right="49"/>
            </w:pPr>
          </w:p>
        </w:tc>
        <w:tc>
          <w:tcPr>
            <w:tcW w:w="4372" w:type="dxa"/>
            <w:noWrap/>
            <w:hideMark/>
          </w:tcPr>
          <w:p w14:paraId="3FA9D429"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What is the current intent: does the Government plan to create a pooled insurance entity, or will the SIO remain the sole operator?</w:t>
            </w:r>
          </w:p>
        </w:tc>
        <w:tc>
          <w:tcPr>
            <w:tcW w:w="3685" w:type="dxa"/>
            <w:noWrap/>
            <w:hideMark/>
          </w:tcPr>
          <w:p w14:paraId="713D0A13"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Determines whether consultations and risk-sharing models focus solely on SIO or are market-wide.</w:t>
            </w:r>
          </w:p>
        </w:tc>
      </w:tr>
      <w:tr w:rsidR="009B6093" w:rsidRPr="009B6093" w14:paraId="4FC729E2" w14:textId="77777777" w:rsidTr="00464B98">
        <w:trPr>
          <w:trHeight w:val="288"/>
        </w:trPr>
        <w:tc>
          <w:tcPr>
            <w:cnfStyle w:val="001000000000" w:firstRow="0" w:lastRow="0" w:firstColumn="1" w:lastColumn="0" w:oddVBand="0" w:evenVBand="0" w:oddHBand="0" w:evenHBand="0" w:firstRowFirstColumn="0" w:firstRowLastColumn="0" w:lastRowFirstColumn="0" w:lastRowLastColumn="0"/>
            <w:tcW w:w="1577" w:type="dxa"/>
            <w:vMerge/>
            <w:noWrap/>
            <w:hideMark/>
          </w:tcPr>
          <w:p w14:paraId="36F907C5" w14:textId="77777777" w:rsidR="009B6093" w:rsidRPr="009B6093" w:rsidRDefault="009B6093" w:rsidP="009B6093">
            <w:pPr>
              <w:spacing w:after="120"/>
              <w:ind w:right="49"/>
            </w:pPr>
          </w:p>
        </w:tc>
        <w:tc>
          <w:tcPr>
            <w:tcW w:w="4372" w:type="dxa"/>
            <w:noWrap/>
            <w:hideMark/>
          </w:tcPr>
          <w:p w14:paraId="0AABDD26"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What is the primary public policy objective of the scheme (e.g., insurance market development, fiscal resilience)?</w:t>
            </w:r>
          </w:p>
        </w:tc>
        <w:tc>
          <w:tcPr>
            <w:tcW w:w="3685" w:type="dxa"/>
            <w:noWrap/>
            <w:hideMark/>
          </w:tcPr>
          <w:p w14:paraId="7E4FA057"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Shapes the purpose of the reinsurance structure and the degree of government involvement or subsidy.</w:t>
            </w:r>
          </w:p>
        </w:tc>
      </w:tr>
      <w:tr w:rsidR="009B6093" w:rsidRPr="009B6093" w14:paraId="73C0910F" w14:textId="77777777" w:rsidTr="00464B98">
        <w:trPr>
          <w:trHeight w:val="288"/>
        </w:trPr>
        <w:tc>
          <w:tcPr>
            <w:cnfStyle w:val="001000000000" w:firstRow="0" w:lastRow="0" w:firstColumn="1" w:lastColumn="0" w:oddVBand="0" w:evenVBand="0" w:oddHBand="0" w:evenHBand="0" w:firstRowFirstColumn="0" w:firstRowLastColumn="0" w:lastRowFirstColumn="0" w:lastRowLastColumn="0"/>
            <w:tcW w:w="1577" w:type="dxa"/>
            <w:vMerge/>
            <w:noWrap/>
            <w:hideMark/>
          </w:tcPr>
          <w:p w14:paraId="269E9BBE" w14:textId="77777777" w:rsidR="009B6093" w:rsidRPr="009B6093" w:rsidRDefault="009B6093" w:rsidP="009B6093">
            <w:pPr>
              <w:spacing w:after="120"/>
              <w:ind w:right="49"/>
            </w:pPr>
          </w:p>
        </w:tc>
        <w:tc>
          <w:tcPr>
            <w:tcW w:w="4372" w:type="dxa"/>
            <w:noWrap/>
            <w:hideMark/>
          </w:tcPr>
          <w:p w14:paraId="2DC99D4B"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Which institution(s) hold legal or decision-making authority to approve reinsurance purchases or enter into contracts with reinsurers?</w:t>
            </w:r>
          </w:p>
        </w:tc>
        <w:tc>
          <w:tcPr>
            <w:tcW w:w="3685" w:type="dxa"/>
            <w:noWrap/>
            <w:hideMark/>
          </w:tcPr>
          <w:p w14:paraId="2AA414D9"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Necessary for defining roles, sequencing procurement, and ensuring implementation feasibility.</w:t>
            </w:r>
          </w:p>
        </w:tc>
      </w:tr>
      <w:tr w:rsidR="009B6093" w:rsidRPr="009B6093" w14:paraId="4883832B" w14:textId="77777777" w:rsidTr="00464B98">
        <w:trPr>
          <w:trHeight w:val="288"/>
        </w:trPr>
        <w:tc>
          <w:tcPr>
            <w:cnfStyle w:val="001000000000" w:firstRow="0" w:lastRow="0" w:firstColumn="1" w:lastColumn="0" w:oddVBand="0" w:evenVBand="0" w:oddHBand="0" w:evenHBand="0" w:firstRowFirstColumn="0" w:firstRowLastColumn="0" w:lastRowFirstColumn="0" w:lastRowLastColumn="0"/>
            <w:tcW w:w="1577" w:type="dxa"/>
            <w:vMerge w:val="restart"/>
            <w:noWrap/>
            <w:hideMark/>
          </w:tcPr>
          <w:p w14:paraId="3D89F08C" w14:textId="77777777" w:rsidR="009B6093" w:rsidRPr="009B6093" w:rsidRDefault="009B6093" w:rsidP="009B6093">
            <w:pPr>
              <w:spacing w:after="120"/>
              <w:ind w:right="49"/>
            </w:pPr>
            <w:r w:rsidRPr="009B6093">
              <w:t>Financial Arrangements and Risk Retention</w:t>
            </w:r>
          </w:p>
          <w:p w14:paraId="6FDE0DB0" w14:textId="77777777" w:rsidR="009B6093" w:rsidRPr="009B6093" w:rsidRDefault="009B6093" w:rsidP="009B6093">
            <w:pPr>
              <w:spacing w:after="120"/>
              <w:ind w:right="49"/>
            </w:pPr>
          </w:p>
        </w:tc>
        <w:tc>
          <w:tcPr>
            <w:tcW w:w="4372" w:type="dxa"/>
            <w:noWrap/>
            <w:hideMark/>
          </w:tcPr>
          <w:p w14:paraId="34C0092E"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Is there a dedicated fund or reserve for claims or reinsurance purposes? If so, what are its sources of funding, investment policy, drawdown conditions, and current balance?</w:t>
            </w:r>
          </w:p>
        </w:tc>
        <w:tc>
          <w:tcPr>
            <w:tcW w:w="3685" w:type="dxa"/>
            <w:noWrap/>
            <w:hideMark/>
          </w:tcPr>
          <w:p w14:paraId="462D0772"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Determines the scope and sustainability of retained risk and reinsurance affordability.</w:t>
            </w:r>
          </w:p>
        </w:tc>
      </w:tr>
      <w:tr w:rsidR="009B6093" w:rsidRPr="009B6093" w14:paraId="4F3F61AD" w14:textId="77777777" w:rsidTr="00464B98">
        <w:trPr>
          <w:trHeight w:val="288"/>
        </w:trPr>
        <w:tc>
          <w:tcPr>
            <w:cnfStyle w:val="001000000000" w:firstRow="0" w:lastRow="0" w:firstColumn="1" w:lastColumn="0" w:oddVBand="0" w:evenVBand="0" w:oddHBand="0" w:evenHBand="0" w:firstRowFirstColumn="0" w:firstRowLastColumn="0" w:lastRowFirstColumn="0" w:lastRowLastColumn="0"/>
            <w:tcW w:w="1577" w:type="dxa"/>
            <w:vMerge/>
            <w:noWrap/>
            <w:hideMark/>
          </w:tcPr>
          <w:p w14:paraId="784BF1E4" w14:textId="77777777" w:rsidR="009B6093" w:rsidRPr="009B6093" w:rsidRDefault="009B6093" w:rsidP="009B6093">
            <w:pPr>
              <w:spacing w:after="120"/>
              <w:ind w:right="49"/>
            </w:pPr>
          </w:p>
        </w:tc>
        <w:tc>
          <w:tcPr>
            <w:tcW w:w="4372" w:type="dxa"/>
            <w:noWrap/>
            <w:hideMark/>
          </w:tcPr>
          <w:p w14:paraId="148BBFE7"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Are any formal or informal government guarantees in place to cover excess losses? If yes, how are they triggered and accounted for?</w:t>
            </w:r>
          </w:p>
        </w:tc>
        <w:tc>
          <w:tcPr>
            <w:tcW w:w="3685" w:type="dxa"/>
            <w:noWrap/>
            <w:hideMark/>
          </w:tcPr>
          <w:p w14:paraId="504DAF00"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Needed to quantify fiscal exposure and structure risk transfer layers accordingly.</w:t>
            </w:r>
          </w:p>
        </w:tc>
      </w:tr>
      <w:tr w:rsidR="009B6093" w:rsidRPr="009B6093" w14:paraId="2AA9513F" w14:textId="77777777" w:rsidTr="00464B98">
        <w:trPr>
          <w:trHeight w:val="288"/>
        </w:trPr>
        <w:tc>
          <w:tcPr>
            <w:cnfStyle w:val="001000000000" w:firstRow="0" w:lastRow="0" w:firstColumn="1" w:lastColumn="0" w:oddVBand="0" w:evenVBand="0" w:oddHBand="0" w:evenHBand="0" w:firstRowFirstColumn="0" w:firstRowLastColumn="0" w:lastRowFirstColumn="0" w:lastRowLastColumn="0"/>
            <w:tcW w:w="1577" w:type="dxa"/>
            <w:vMerge/>
            <w:noWrap/>
            <w:hideMark/>
          </w:tcPr>
          <w:p w14:paraId="4D92F90C" w14:textId="77777777" w:rsidR="009B6093" w:rsidRPr="009B6093" w:rsidRDefault="009B6093" w:rsidP="009B6093">
            <w:pPr>
              <w:spacing w:after="120"/>
              <w:ind w:right="49"/>
            </w:pPr>
          </w:p>
        </w:tc>
        <w:tc>
          <w:tcPr>
            <w:tcW w:w="4372" w:type="dxa"/>
            <w:noWrap/>
            <w:hideMark/>
          </w:tcPr>
          <w:p w14:paraId="1A691AFA"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Can the SIO accumulate and manage retained earnings, or are surplus funds transferred to the state budget?</w:t>
            </w:r>
          </w:p>
        </w:tc>
        <w:tc>
          <w:tcPr>
            <w:tcW w:w="3685" w:type="dxa"/>
            <w:noWrap/>
            <w:hideMark/>
          </w:tcPr>
          <w:p w14:paraId="4D3CA596"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Impacts feasible retention levels and the build-up of risk capital over time.</w:t>
            </w:r>
          </w:p>
        </w:tc>
      </w:tr>
      <w:tr w:rsidR="009B6093" w:rsidRPr="009B6093" w14:paraId="57451ED2" w14:textId="77777777" w:rsidTr="00464B98">
        <w:trPr>
          <w:trHeight w:val="288"/>
        </w:trPr>
        <w:tc>
          <w:tcPr>
            <w:cnfStyle w:val="001000000000" w:firstRow="0" w:lastRow="0" w:firstColumn="1" w:lastColumn="0" w:oddVBand="0" w:evenVBand="0" w:oddHBand="0" w:evenHBand="0" w:firstRowFirstColumn="0" w:firstRowLastColumn="0" w:lastRowFirstColumn="0" w:lastRowLastColumn="0"/>
            <w:tcW w:w="1577" w:type="dxa"/>
            <w:vMerge w:val="restart"/>
            <w:noWrap/>
            <w:hideMark/>
          </w:tcPr>
          <w:p w14:paraId="3C9EAAFD" w14:textId="77777777" w:rsidR="009B6093" w:rsidRPr="009B6093" w:rsidRDefault="009B6093" w:rsidP="009B6093">
            <w:pPr>
              <w:spacing w:after="120"/>
              <w:ind w:right="49"/>
            </w:pPr>
            <w:r w:rsidRPr="009B6093">
              <w:t>Legal, Regulatory, and Operational Conditions</w:t>
            </w:r>
          </w:p>
          <w:p w14:paraId="2E12823B" w14:textId="77777777" w:rsidR="009B6093" w:rsidRPr="009B6093" w:rsidRDefault="009B6093" w:rsidP="009B6093">
            <w:pPr>
              <w:spacing w:after="120"/>
              <w:ind w:right="49"/>
            </w:pPr>
          </w:p>
        </w:tc>
        <w:tc>
          <w:tcPr>
            <w:tcW w:w="4372" w:type="dxa"/>
            <w:noWrap/>
            <w:hideMark/>
          </w:tcPr>
          <w:p w14:paraId="171ACE81"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Are there any restrictions or regulatory conditions on the SIO’s ability to procure international reinsurance?</w:t>
            </w:r>
          </w:p>
        </w:tc>
        <w:tc>
          <w:tcPr>
            <w:tcW w:w="3685" w:type="dxa"/>
            <w:noWrap/>
            <w:hideMark/>
          </w:tcPr>
          <w:p w14:paraId="7A70DFC2"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Affects procurement options and engagement strategy.</w:t>
            </w:r>
          </w:p>
        </w:tc>
      </w:tr>
      <w:tr w:rsidR="009B6093" w:rsidRPr="009B6093" w14:paraId="3426F70C" w14:textId="77777777" w:rsidTr="00464B98">
        <w:trPr>
          <w:trHeight w:val="288"/>
        </w:trPr>
        <w:tc>
          <w:tcPr>
            <w:cnfStyle w:val="001000000000" w:firstRow="0" w:lastRow="0" w:firstColumn="1" w:lastColumn="0" w:oddVBand="0" w:evenVBand="0" w:oddHBand="0" w:evenHBand="0" w:firstRowFirstColumn="0" w:firstRowLastColumn="0" w:lastRowFirstColumn="0" w:lastRowLastColumn="0"/>
            <w:tcW w:w="1577" w:type="dxa"/>
            <w:vMerge/>
            <w:noWrap/>
            <w:hideMark/>
          </w:tcPr>
          <w:p w14:paraId="11BC362F" w14:textId="77777777" w:rsidR="009B6093" w:rsidRPr="009B6093" w:rsidRDefault="009B6093" w:rsidP="009B6093">
            <w:pPr>
              <w:spacing w:after="120"/>
              <w:ind w:right="49"/>
            </w:pPr>
          </w:p>
        </w:tc>
        <w:tc>
          <w:tcPr>
            <w:tcW w:w="4372" w:type="dxa"/>
            <w:noWrap/>
            <w:hideMark/>
          </w:tcPr>
          <w:p w14:paraId="7C775F05"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Is there any draft legislation or pending regulatory reform that could impact the mandatory insurance scheme or its financial governance?</w:t>
            </w:r>
          </w:p>
        </w:tc>
        <w:tc>
          <w:tcPr>
            <w:tcW w:w="3685" w:type="dxa"/>
            <w:noWrap/>
            <w:hideMark/>
          </w:tcPr>
          <w:p w14:paraId="0A853AA1"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Ensures recommendations align with upcoming legal changes.</w:t>
            </w:r>
          </w:p>
        </w:tc>
      </w:tr>
    </w:tbl>
    <w:p w14:paraId="55E068EA" w14:textId="10801051" w:rsidR="009B6093" w:rsidRPr="009B6093" w:rsidRDefault="009B6093" w:rsidP="009B6093">
      <w:pPr>
        <w:spacing w:after="120"/>
        <w:ind w:right="49"/>
        <w:rPr>
          <w:b/>
          <w:i/>
          <w:iCs/>
        </w:rPr>
      </w:pPr>
      <w:r w:rsidRPr="009B6093">
        <w:rPr>
          <w:b/>
          <w:i/>
          <w:iCs/>
        </w:rPr>
        <w:t xml:space="preserve">Table </w:t>
      </w:r>
      <w:r w:rsidRPr="009B6093">
        <w:rPr>
          <w:b/>
          <w:i/>
          <w:iCs/>
        </w:rPr>
        <w:fldChar w:fldCharType="begin"/>
      </w:r>
      <w:r w:rsidRPr="009B6093">
        <w:rPr>
          <w:b/>
          <w:i/>
          <w:iCs/>
        </w:rPr>
        <w:instrText xml:space="preserve"> SEQ Table \* ARABIC </w:instrText>
      </w:r>
      <w:r w:rsidRPr="009B6093">
        <w:rPr>
          <w:b/>
          <w:i/>
          <w:iCs/>
        </w:rPr>
        <w:fldChar w:fldCharType="separate"/>
      </w:r>
      <w:r w:rsidRPr="009B6093">
        <w:rPr>
          <w:b/>
          <w:i/>
          <w:iCs/>
        </w:rPr>
        <w:t>2</w:t>
      </w:r>
      <w:r w:rsidRPr="009B6093">
        <w:rPr>
          <w:b/>
        </w:rPr>
        <w:fldChar w:fldCharType="end"/>
      </w:r>
      <w:r w:rsidRPr="009B6093">
        <w:rPr>
          <w:b/>
          <w:i/>
          <w:iCs/>
        </w:rPr>
        <w:t>: Clarification Questions (Government and SIO) (Inputs)</w:t>
      </w:r>
    </w:p>
    <w:tbl>
      <w:tblPr>
        <w:tblStyle w:val="-11"/>
        <w:tblW w:w="0" w:type="auto"/>
        <w:tblLayout w:type="fixed"/>
        <w:tblLook w:val="04A0" w:firstRow="1" w:lastRow="0" w:firstColumn="1" w:lastColumn="0" w:noHBand="0" w:noVBand="1"/>
      </w:tblPr>
      <w:tblGrid>
        <w:gridCol w:w="2122"/>
        <w:gridCol w:w="5670"/>
        <w:gridCol w:w="1224"/>
      </w:tblGrid>
      <w:tr w:rsidR="009B6093" w:rsidRPr="009B6093" w14:paraId="3635D558" w14:textId="77777777" w:rsidTr="1AFBC36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2" w:type="dxa"/>
            <w:shd w:val="clear" w:color="auto" w:fill="002060"/>
            <w:noWrap/>
            <w:hideMark/>
          </w:tcPr>
          <w:p w14:paraId="1D25C5E2" w14:textId="77777777" w:rsidR="009B6093" w:rsidRPr="009B6093" w:rsidRDefault="009B6093" w:rsidP="009B6093">
            <w:pPr>
              <w:spacing w:after="120"/>
              <w:ind w:right="49"/>
            </w:pPr>
            <w:r w:rsidRPr="009B6093">
              <w:lastRenderedPageBreak/>
              <w:t>Category</w:t>
            </w:r>
          </w:p>
        </w:tc>
        <w:tc>
          <w:tcPr>
            <w:tcW w:w="5670" w:type="dxa"/>
            <w:shd w:val="clear" w:color="auto" w:fill="002060"/>
            <w:noWrap/>
            <w:hideMark/>
          </w:tcPr>
          <w:p w14:paraId="4D251FA8" w14:textId="77777777" w:rsidR="009B6093" w:rsidRPr="009B6093" w:rsidRDefault="009B6093" w:rsidP="009B6093">
            <w:pPr>
              <w:spacing w:after="120"/>
              <w:ind w:right="49"/>
              <w:cnfStyle w:val="100000000000" w:firstRow="1" w:lastRow="0" w:firstColumn="0" w:lastColumn="0" w:oddVBand="0" w:evenVBand="0" w:oddHBand="0" w:evenHBand="0" w:firstRowFirstColumn="0" w:firstRowLastColumn="0" w:lastRowFirstColumn="0" w:lastRowLastColumn="0"/>
            </w:pPr>
            <w:r w:rsidRPr="009B6093">
              <w:t>Outcome Question</w:t>
            </w:r>
          </w:p>
        </w:tc>
        <w:tc>
          <w:tcPr>
            <w:tcW w:w="1224" w:type="dxa"/>
            <w:shd w:val="clear" w:color="auto" w:fill="002060"/>
            <w:noWrap/>
            <w:hideMark/>
          </w:tcPr>
          <w:p w14:paraId="243C3E7C" w14:textId="10D27F87" w:rsidR="009B6093" w:rsidRPr="009B6093" w:rsidRDefault="009B6093" w:rsidP="009B6093">
            <w:pPr>
              <w:spacing w:after="120"/>
              <w:ind w:right="49"/>
              <w:cnfStyle w:val="100000000000" w:firstRow="1" w:lastRow="0" w:firstColumn="0" w:lastColumn="0" w:oddVBand="0" w:evenVBand="0" w:oddHBand="0" w:evenHBand="0" w:firstRowFirstColumn="0" w:firstRowLastColumn="0" w:lastRowFirstColumn="0" w:lastRowLastColumn="0"/>
            </w:pPr>
          </w:p>
        </w:tc>
      </w:tr>
      <w:tr w:rsidR="009B6093" w:rsidRPr="009B6093" w14:paraId="074662AE" w14:textId="77777777" w:rsidTr="1AFBC361">
        <w:trPr>
          <w:trHeight w:val="288"/>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4A465095" w14:textId="77777777" w:rsidR="009B6093" w:rsidRPr="009B6093" w:rsidRDefault="009B6093" w:rsidP="009B6093">
            <w:pPr>
              <w:spacing w:after="120"/>
              <w:ind w:right="49"/>
            </w:pPr>
            <w:r w:rsidRPr="009B6093">
              <w:t>Strategic and Structural Design</w:t>
            </w:r>
          </w:p>
        </w:tc>
        <w:tc>
          <w:tcPr>
            <w:tcW w:w="5670" w:type="dxa"/>
            <w:noWrap/>
            <w:hideMark/>
          </w:tcPr>
          <w:p w14:paraId="068E4624"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What is the most suitable reinsurance structure (e.g., excess-of-loss, quota share) for the SIO’s portfolio and risk appetite?</w:t>
            </w:r>
          </w:p>
        </w:tc>
        <w:tc>
          <w:tcPr>
            <w:tcW w:w="1224" w:type="dxa"/>
            <w:noWrap/>
            <w:hideMark/>
          </w:tcPr>
          <w:p w14:paraId="1B2576AC" w14:textId="76732380"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p>
        </w:tc>
      </w:tr>
      <w:tr w:rsidR="009B6093" w:rsidRPr="009B6093" w14:paraId="1BBE664E" w14:textId="77777777" w:rsidTr="1AFBC361">
        <w:trPr>
          <w:trHeight w:val="288"/>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3244578C" w14:textId="77777777" w:rsidR="009B6093" w:rsidRPr="009B6093" w:rsidRDefault="009B6093" w:rsidP="009B6093">
            <w:pPr>
              <w:spacing w:after="120"/>
              <w:ind w:right="49"/>
            </w:pPr>
          </w:p>
        </w:tc>
        <w:tc>
          <w:tcPr>
            <w:tcW w:w="5670" w:type="dxa"/>
            <w:noWrap/>
            <w:hideMark/>
          </w:tcPr>
          <w:p w14:paraId="02DF6164"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What should the optimal retention level be to balance affordability, capital protection, and solvency stability?</w:t>
            </w:r>
          </w:p>
        </w:tc>
        <w:tc>
          <w:tcPr>
            <w:tcW w:w="1224" w:type="dxa"/>
            <w:noWrap/>
            <w:hideMark/>
          </w:tcPr>
          <w:p w14:paraId="4EA7F066" w14:textId="3A25CDF3"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p>
        </w:tc>
      </w:tr>
      <w:tr w:rsidR="009B6093" w:rsidRPr="009B6093" w14:paraId="4A711158" w14:textId="77777777" w:rsidTr="1AFBC361">
        <w:trPr>
          <w:trHeight w:val="288"/>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7267825E" w14:textId="77777777" w:rsidR="009B6093" w:rsidRPr="009B6093" w:rsidRDefault="009B6093" w:rsidP="009B6093">
            <w:pPr>
              <w:spacing w:after="120"/>
              <w:ind w:right="49"/>
            </w:pPr>
          </w:p>
        </w:tc>
        <w:tc>
          <w:tcPr>
            <w:tcW w:w="5670" w:type="dxa"/>
            <w:noWrap/>
            <w:hideMark/>
          </w:tcPr>
          <w:p w14:paraId="08014DA8"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What are the fiscal implications of different reinsurance scenarios, and how can government exposure be structured and limited?</w:t>
            </w:r>
          </w:p>
        </w:tc>
        <w:tc>
          <w:tcPr>
            <w:tcW w:w="1224" w:type="dxa"/>
            <w:noWrap/>
            <w:hideMark/>
          </w:tcPr>
          <w:p w14:paraId="350CE319" w14:textId="575AC535"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p>
        </w:tc>
      </w:tr>
      <w:tr w:rsidR="009B6093" w:rsidRPr="009B6093" w14:paraId="757A3E74" w14:textId="77777777" w:rsidTr="1AFBC361">
        <w:trPr>
          <w:trHeight w:val="288"/>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6EB33FF2" w14:textId="77777777" w:rsidR="009B6093" w:rsidRPr="009B6093" w:rsidRDefault="009B6093" w:rsidP="009B6093">
            <w:pPr>
              <w:spacing w:after="120"/>
              <w:ind w:right="49"/>
            </w:pPr>
            <w:r w:rsidRPr="009B6093">
              <w:t>Market Readiness and Broker Engagement</w:t>
            </w:r>
          </w:p>
        </w:tc>
        <w:tc>
          <w:tcPr>
            <w:tcW w:w="5670" w:type="dxa"/>
            <w:noWrap/>
            <w:hideMark/>
          </w:tcPr>
          <w:p w14:paraId="6DA92517"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What appetite exists among reinsurers for covering the SIO portfolio under different program designs?</w:t>
            </w:r>
          </w:p>
        </w:tc>
        <w:tc>
          <w:tcPr>
            <w:tcW w:w="1224" w:type="dxa"/>
            <w:noWrap/>
            <w:hideMark/>
          </w:tcPr>
          <w:p w14:paraId="0D00DF11" w14:textId="1EC8DB9F"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p>
        </w:tc>
      </w:tr>
      <w:tr w:rsidR="009B6093" w:rsidRPr="009B6093" w14:paraId="73B68106" w14:textId="77777777" w:rsidTr="1AFBC361">
        <w:trPr>
          <w:trHeight w:val="288"/>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6DBAD994" w14:textId="77777777" w:rsidR="009B6093" w:rsidRPr="009B6093" w:rsidRDefault="009B6093" w:rsidP="009B6093">
            <w:pPr>
              <w:spacing w:after="120"/>
              <w:ind w:right="49"/>
            </w:pPr>
          </w:p>
        </w:tc>
        <w:tc>
          <w:tcPr>
            <w:tcW w:w="5670" w:type="dxa"/>
            <w:noWrap/>
            <w:hideMark/>
          </w:tcPr>
          <w:p w14:paraId="343A0345"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What information and underwriting data must be provided to secure interest and competitive pricing?</w:t>
            </w:r>
          </w:p>
        </w:tc>
        <w:tc>
          <w:tcPr>
            <w:tcW w:w="1224" w:type="dxa"/>
            <w:noWrap/>
            <w:hideMark/>
          </w:tcPr>
          <w:p w14:paraId="309C3553" w14:textId="1A9E3316"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p>
        </w:tc>
      </w:tr>
      <w:tr w:rsidR="009B6093" w:rsidRPr="009B6093" w14:paraId="35BE7FE1" w14:textId="77777777" w:rsidTr="1AFBC361">
        <w:trPr>
          <w:trHeight w:val="288"/>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3B80B525" w14:textId="77777777" w:rsidR="009B6093" w:rsidRPr="009B6093" w:rsidRDefault="009B6093" w:rsidP="009B6093">
            <w:pPr>
              <w:spacing w:after="120"/>
              <w:ind w:right="49"/>
            </w:pPr>
            <w:r w:rsidRPr="009B6093">
              <w:t>Institutional Implementation</w:t>
            </w:r>
          </w:p>
        </w:tc>
        <w:tc>
          <w:tcPr>
            <w:tcW w:w="5670" w:type="dxa"/>
            <w:noWrap/>
            <w:hideMark/>
          </w:tcPr>
          <w:p w14:paraId="53B230EB"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What institutional options (e.g., SIO, pool, separate agency) are best suited to managing the reinsurance program? [</w:t>
            </w:r>
            <w:r w:rsidRPr="009B6093">
              <w:rPr>
                <w:b/>
                <w:bCs/>
                <w:i/>
                <w:iCs/>
              </w:rPr>
              <w:t>If applicable, depending on Inputs</w:t>
            </w:r>
            <w:r w:rsidRPr="009B6093">
              <w:t>]</w:t>
            </w:r>
          </w:p>
        </w:tc>
        <w:tc>
          <w:tcPr>
            <w:tcW w:w="1224" w:type="dxa"/>
            <w:noWrap/>
            <w:hideMark/>
          </w:tcPr>
          <w:p w14:paraId="760B9776" w14:textId="421AA20B"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p>
        </w:tc>
      </w:tr>
      <w:tr w:rsidR="009B6093" w:rsidRPr="009B6093" w14:paraId="238A2B7D" w14:textId="77777777" w:rsidTr="1AFBC361">
        <w:trPr>
          <w:trHeight w:val="288"/>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683CB7DF" w14:textId="77777777" w:rsidR="009B6093" w:rsidRPr="009B6093" w:rsidRDefault="009B6093" w:rsidP="009B6093">
            <w:pPr>
              <w:spacing w:after="120"/>
              <w:ind w:right="49"/>
            </w:pPr>
          </w:p>
        </w:tc>
        <w:tc>
          <w:tcPr>
            <w:tcW w:w="5670" w:type="dxa"/>
            <w:noWrap/>
            <w:hideMark/>
          </w:tcPr>
          <w:p w14:paraId="7C66DDBE"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What capacity gaps exist in SIO or related institutions that may need to be addressed to operationalize the reinsurance strategy?</w:t>
            </w:r>
          </w:p>
        </w:tc>
        <w:tc>
          <w:tcPr>
            <w:tcW w:w="1224" w:type="dxa"/>
            <w:noWrap/>
            <w:hideMark/>
          </w:tcPr>
          <w:p w14:paraId="1155CC45" w14:textId="12C74BAD"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p>
        </w:tc>
      </w:tr>
      <w:tr w:rsidR="009B6093" w:rsidRPr="009B6093" w14:paraId="0DF73989" w14:textId="77777777" w:rsidTr="1AFBC361">
        <w:trPr>
          <w:trHeight w:val="288"/>
        </w:trPr>
        <w:tc>
          <w:tcPr>
            <w:cnfStyle w:val="001000000000" w:firstRow="0" w:lastRow="0" w:firstColumn="1" w:lastColumn="0" w:oddVBand="0" w:evenVBand="0" w:oddHBand="0" w:evenHBand="0" w:firstRowFirstColumn="0" w:firstRowLastColumn="0" w:lastRowFirstColumn="0" w:lastRowLastColumn="0"/>
            <w:tcW w:w="2122" w:type="dxa"/>
            <w:vMerge w:val="restart"/>
            <w:noWrap/>
            <w:hideMark/>
          </w:tcPr>
          <w:p w14:paraId="06B32BA3" w14:textId="77777777" w:rsidR="009B6093" w:rsidRPr="009B6093" w:rsidRDefault="009B6093" w:rsidP="009B6093">
            <w:pPr>
              <w:spacing w:after="120"/>
              <w:ind w:right="49"/>
            </w:pPr>
            <w:r w:rsidRPr="009B6093">
              <w:t>Roadmap and Policy</w:t>
            </w:r>
          </w:p>
        </w:tc>
        <w:tc>
          <w:tcPr>
            <w:tcW w:w="5670" w:type="dxa"/>
            <w:noWrap/>
            <w:hideMark/>
          </w:tcPr>
          <w:p w14:paraId="229DBBCC"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What legal or procedural changes (e.g., procurement policy, reporting obligations) are required to implement the strategy?</w:t>
            </w:r>
          </w:p>
        </w:tc>
        <w:tc>
          <w:tcPr>
            <w:tcW w:w="1224" w:type="dxa"/>
            <w:noWrap/>
            <w:hideMark/>
          </w:tcPr>
          <w:p w14:paraId="183A41B3" w14:textId="02AEF0DC"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p>
        </w:tc>
      </w:tr>
      <w:tr w:rsidR="009B6093" w:rsidRPr="009B6093" w14:paraId="5BB8887F" w14:textId="77777777" w:rsidTr="1AFBC361">
        <w:trPr>
          <w:trHeight w:val="288"/>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6066F783" w14:textId="77777777" w:rsidR="009B6093" w:rsidRPr="009B6093" w:rsidRDefault="009B6093" w:rsidP="009B6093">
            <w:pPr>
              <w:spacing w:after="120"/>
              <w:ind w:right="49"/>
            </w:pPr>
          </w:p>
        </w:tc>
        <w:tc>
          <w:tcPr>
            <w:tcW w:w="5670" w:type="dxa"/>
            <w:noWrap/>
            <w:hideMark/>
          </w:tcPr>
          <w:p w14:paraId="69324603"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How should the reinsurance purchasing process be linked to annual solvency reviews, budget planning, and tariff-setting?</w:t>
            </w:r>
          </w:p>
        </w:tc>
        <w:tc>
          <w:tcPr>
            <w:tcW w:w="1224" w:type="dxa"/>
            <w:noWrap/>
            <w:hideMark/>
          </w:tcPr>
          <w:p w14:paraId="48B4D0BC" w14:textId="0C5AE691"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p>
        </w:tc>
      </w:tr>
      <w:tr w:rsidR="009B6093" w:rsidRPr="009B6093" w14:paraId="2DF5D944" w14:textId="77777777" w:rsidTr="1AFBC361">
        <w:trPr>
          <w:trHeight w:val="288"/>
        </w:trPr>
        <w:tc>
          <w:tcPr>
            <w:cnfStyle w:val="001000000000" w:firstRow="0" w:lastRow="0" w:firstColumn="1" w:lastColumn="0" w:oddVBand="0" w:evenVBand="0" w:oddHBand="0" w:evenHBand="0" w:firstRowFirstColumn="0" w:firstRowLastColumn="0" w:lastRowFirstColumn="0" w:lastRowLastColumn="0"/>
            <w:tcW w:w="2122" w:type="dxa"/>
            <w:vMerge/>
            <w:noWrap/>
            <w:hideMark/>
          </w:tcPr>
          <w:p w14:paraId="515965EC" w14:textId="77777777" w:rsidR="009B6093" w:rsidRPr="009B6093" w:rsidRDefault="009B6093" w:rsidP="009B6093">
            <w:pPr>
              <w:spacing w:after="120"/>
              <w:ind w:right="49"/>
            </w:pPr>
          </w:p>
        </w:tc>
        <w:tc>
          <w:tcPr>
            <w:tcW w:w="5670" w:type="dxa"/>
            <w:noWrap/>
            <w:hideMark/>
          </w:tcPr>
          <w:p w14:paraId="6DA7FD40" w14:textId="77777777"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r w:rsidRPr="009B6093">
              <w:t>What communications or policy coordination efforts are needed to align reinsurance with broader fiscal risk management or disaster response frameworks?</w:t>
            </w:r>
          </w:p>
        </w:tc>
        <w:tc>
          <w:tcPr>
            <w:tcW w:w="1224" w:type="dxa"/>
            <w:noWrap/>
            <w:hideMark/>
          </w:tcPr>
          <w:p w14:paraId="60AB7D61" w14:textId="164BF676" w:rsidR="009B6093" w:rsidRPr="009B6093" w:rsidRDefault="009B6093" w:rsidP="009B6093">
            <w:pPr>
              <w:spacing w:after="120"/>
              <w:ind w:right="49"/>
              <w:cnfStyle w:val="000000000000" w:firstRow="0" w:lastRow="0" w:firstColumn="0" w:lastColumn="0" w:oddVBand="0" w:evenVBand="0" w:oddHBand="0" w:evenHBand="0" w:firstRowFirstColumn="0" w:firstRowLastColumn="0" w:lastRowFirstColumn="0" w:lastRowLastColumn="0"/>
            </w:pPr>
          </w:p>
        </w:tc>
      </w:tr>
    </w:tbl>
    <w:p w14:paraId="4B9CD62D" w14:textId="77777777" w:rsidR="009B6093" w:rsidRPr="009B6093" w:rsidRDefault="009B6093" w:rsidP="009B6093">
      <w:pPr>
        <w:spacing w:after="120"/>
        <w:ind w:right="49"/>
        <w:rPr>
          <w:b/>
          <w:i/>
          <w:iCs/>
        </w:rPr>
      </w:pPr>
      <w:r w:rsidRPr="009B6093">
        <w:rPr>
          <w:b/>
          <w:i/>
          <w:iCs/>
        </w:rPr>
        <w:br/>
      </w:r>
      <w:bookmarkStart w:id="3" w:name="_Ref198568285"/>
      <w:r w:rsidRPr="009B6093">
        <w:rPr>
          <w:b/>
          <w:i/>
          <w:iCs/>
        </w:rPr>
        <w:t xml:space="preserve">Table </w:t>
      </w:r>
      <w:r w:rsidRPr="009B6093">
        <w:rPr>
          <w:b/>
          <w:i/>
          <w:iCs/>
        </w:rPr>
        <w:fldChar w:fldCharType="begin"/>
      </w:r>
      <w:r w:rsidRPr="009B6093">
        <w:rPr>
          <w:b/>
          <w:i/>
          <w:iCs/>
        </w:rPr>
        <w:instrText xml:space="preserve"> SEQ Table \* ARABIC </w:instrText>
      </w:r>
      <w:r w:rsidRPr="009B6093">
        <w:rPr>
          <w:b/>
          <w:i/>
          <w:iCs/>
        </w:rPr>
        <w:fldChar w:fldCharType="separate"/>
      </w:r>
      <w:r w:rsidRPr="009B6093">
        <w:rPr>
          <w:b/>
          <w:i/>
          <w:iCs/>
        </w:rPr>
        <w:t>3</w:t>
      </w:r>
      <w:r w:rsidRPr="009B6093">
        <w:rPr>
          <w:b/>
        </w:rPr>
        <w:fldChar w:fldCharType="end"/>
      </w:r>
      <w:bookmarkEnd w:id="3"/>
      <w:r w:rsidRPr="009B6093">
        <w:rPr>
          <w:b/>
          <w:i/>
          <w:iCs/>
        </w:rPr>
        <w:t>: Target Outcomes from the ToR Activities (Outcomes)</w:t>
      </w:r>
    </w:p>
    <w:p w14:paraId="56DB7134" w14:textId="77777777" w:rsidR="00222A80" w:rsidRPr="00FF34D5" w:rsidRDefault="00222A80" w:rsidP="00F31D90">
      <w:pPr>
        <w:spacing w:after="120"/>
        <w:ind w:right="49"/>
        <w:rPr>
          <w:b/>
        </w:rPr>
      </w:pPr>
    </w:p>
    <w:sectPr w:rsidR="00222A80" w:rsidRPr="00FF34D5" w:rsidSect="004D39FF">
      <w:headerReference w:type="default" r:id="rId9"/>
      <w:footerReference w:type="even" r:id="rId10"/>
      <w:footerReference w:type="default" r:id="rId11"/>
      <w:footerReference w:type="first" r:id="rId12"/>
      <w:pgSz w:w="11900" w:h="16840"/>
      <w:pgMar w:top="1134" w:right="851" w:bottom="993"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CE64B" w14:textId="77777777" w:rsidR="00A57C32" w:rsidRPr="00464B98" w:rsidRDefault="00A57C32">
      <w:r w:rsidRPr="00464B98">
        <w:separator/>
      </w:r>
    </w:p>
  </w:endnote>
  <w:endnote w:type="continuationSeparator" w:id="0">
    <w:p w14:paraId="4B9116F1" w14:textId="77777777" w:rsidR="00A57C32" w:rsidRPr="00464B98" w:rsidRDefault="00A57C32">
      <w:r w:rsidRPr="00464B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rimo">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A79E" w14:textId="0ACB357D" w:rsidR="005E6093" w:rsidRDefault="005D666D">
    <w:pPr>
      <w:pStyle w:val="aff6"/>
    </w:pPr>
    <w:r>
      <w:rPr>
        <w:noProof/>
      </w:rPr>
      <mc:AlternateContent>
        <mc:Choice Requires="wps">
          <w:drawing>
            <wp:anchor distT="0" distB="0" distL="0" distR="0" simplePos="0" relativeHeight="251659264" behindDoc="0" locked="0" layoutInCell="1" allowOverlap="1" wp14:anchorId="30CFB31C" wp14:editId="1795837F">
              <wp:simplePos x="635" y="635"/>
              <wp:positionH relativeFrom="page">
                <wp:align>right</wp:align>
              </wp:positionH>
              <wp:positionV relativeFrom="page">
                <wp:align>bottom</wp:align>
              </wp:positionV>
              <wp:extent cx="1172210" cy="345440"/>
              <wp:effectExtent l="0" t="0" r="0" b="0"/>
              <wp:wrapNone/>
              <wp:docPr id="210251096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a:effectLst/>
                      <a:sp3d/>
                    </wps:spPr>
                    <wps:txbx>
                      <w:txbxContent>
                        <w:p w14:paraId="2CF10668" w14:textId="358F7BC1" w:rsidR="005D666D" w:rsidRPr="005D666D" w:rsidRDefault="005D666D" w:rsidP="005D666D">
                          <w:pPr>
                            <w:rPr>
                              <w:rFonts w:ascii="Aptos" w:eastAsia="Aptos" w:hAnsi="Aptos" w:cs="Aptos"/>
                              <w:noProof/>
                              <w:color w:val="000000"/>
                              <w:sz w:val="20"/>
                              <w:szCs w:val="20"/>
                            </w:rPr>
                          </w:pPr>
                          <w:r w:rsidRPr="005D666D">
                            <w:rPr>
                              <w:rFonts w:ascii="Aptos" w:eastAsia="Aptos" w:hAnsi="Aptos" w:cs="Aptos"/>
                              <w:noProof/>
                              <w:color w:val="000000"/>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30CFB31C"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" filled="f" stroked="f">
              <v:fill o:detectmouseclick="t"/>
              <v:textbox style="mso-fit-shape-to-text:t" inset="0,0,20pt,15pt">
                <w:txbxContent>
                  <w:p w14:paraId="2CF10668" w14:textId="358F7BC1" w:rsidR="005D666D" w:rsidRPr="005D666D" w:rsidRDefault="005D666D" w:rsidP="005D666D">
                    <w:pPr>
                      <w:rPr>
                        <w:rFonts w:ascii="Aptos" w:eastAsia="Aptos" w:hAnsi="Aptos" w:cs="Aptos"/>
                        <w:noProof/>
                        <w:color w:val="000000"/>
                        <w:sz w:val="20"/>
                        <w:szCs w:val="20"/>
                      </w:rPr>
                    </w:pPr>
                    <w:r w:rsidRPr="005D666D">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27AD" w14:textId="4F2EDB35" w:rsidR="00E31D8A" w:rsidRPr="00464B98" w:rsidRDefault="005D666D">
    <w:pPr>
      <w:pBdr>
        <w:top w:val="nil"/>
        <w:left w:val="nil"/>
        <w:bottom w:val="nil"/>
        <w:right w:val="nil"/>
        <w:between w:val="nil"/>
      </w:pBdr>
      <w:tabs>
        <w:tab w:val="center" w:pos="4513"/>
        <w:tab w:val="right" w:pos="9026"/>
      </w:tabs>
      <w:jc w:val="center"/>
      <w:rPr>
        <w:color w:val="000000"/>
      </w:rPr>
    </w:pPr>
    <w:r>
      <w:rPr>
        <w:noProof/>
        <w:color w:val="000000"/>
      </w:rPr>
      <mc:AlternateContent>
        <mc:Choice Requires="wps">
          <w:drawing>
            <wp:anchor distT="0" distB="0" distL="0" distR="0" simplePos="0" relativeHeight="251660288" behindDoc="0" locked="0" layoutInCell="1" allowOverlap="1" wp14:anchorId="539C50CD" wp14:editId="5CBC5E96">
              <wp:simplePos x="902525" y="10070275"/>
              <wp:positionH relativeFrom="page">
                <wp:align>right</wp:align>
              </wp:positionH>
              <wp:positionV relativeFrom="page">
                <wp:align>bottom</wp:align>
              </wp:positionV>
              <wp:extent cx="1172210" cy="345440"/>
              <wp:effectExtent l="0" t="0" r="0" b="0"/>
              <wp:wrapNone/>
              <wp:docPr id="67308475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a:effectLst/>
                      <a:sp3d/>
                    </wps:spPr>
                    <wps:txbx>
                      <w:txbxContent>
                        <w:p w14:paraId="2FE7B747" w14:textId="676EE4EC" w:rsidR="005D666D" w:rsidRPr="005D666D" w:rsidRDefault="005D666D" w:rsidP="005D666D">
                          <w:pPr>
                            <w:rPr>
                              <w:rFonts w:ascii="Aptos" w:eastAsia="Aptos" w:hAnsi="Aptos" w:cs="Aptos"/>
                              <w:noProof/>
                              <w:color w:val="000000"/>
                              <w:sz w:val="20"/>
                              <w:szCs w:val="20"/>
                            </w:rPr>
                          </w:pPr>
                          <w:r w:rsidRPr="005D666D">
                            <w:rPr>
                              <w:rFonts w:ascii="Aptos" w:eastAsia="Aptos" w:hAnsi="Aptos" w:cs="Aptos"/>
                              <w:noProof/>
                              <w:color w:val="000000"/>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539C50CD" id="_x0000_t202" coordsize="21600,21600" o:spt="202" path="m,l,21600r21600,l21600,xe">
              <v:stroke joinstyle="miter"/>
              <v:path gradientshapeok="t" o:connecttype="rect"/>
            </v:shapetype>
            <v:shape id="Text Box 3" o:spid="_x0000_s1027" type="#_x0000_t202" alt="Official Use Only" style="position:absolute;left:0;text-align:left;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" filled="f" stroked="f">
              <v:fill o:detectmouseclick="t"/>
              <v:textbox style="mso-fit-shape-to-text:t" inset="0,0,20pt,15pt">
                <w:txbxContent>
                  <w:p w14:paraId="2FE7B747" w14:textId="676EE4EC" w:rsidR="005D666D" w:rsidRPr="005D666D" w:rsidRDefault="005D666D" w:rsidP="005D666D">
                    <w:pPr>
                      <w:rPr>
                        <w:rFonts w:ascii="Aptos" w:eastAsia="Aptos" w:hAnsi="Aptos" w:cs="Aptos"/>
                        <w:noProof/>
                        <w:color w:val="000000"/>
                        <w:sz w:val="20"/>
                        <w:szCs w:val="20"/>
                      </w:rPr>
                    </w:pPr>
                    <w:r w:rsidRPr="005D666D">
                      <w:rPr>
                        <w:rFonts w:ascii="Aptos" w:eastAsia="Aptos" w:hAnsi="Aptos" w:cs="Aptos"/>
                        <w:noProof/>
                        <w:color w:val="000000"/>
                        <w:sz w:val="20"/>
                        <w:szCs w:val="20"/>
                      </w:rPr>
                      <w:t>Official Use Only</w:t>
                    </w:r>
                  </w:p>
                </w:txbxContent>
              </v:textbox>
              <w10:wrap anchorx="page" anchory="page"/>
            </v:shape>
          </w:pict>
        </mc:Fallback>
      </mc:AlternateContent>
    </w:r>
    <w:r w:rsidR="00186A81" w:rsidRPr="00464B98">
      <w:rPr>
        <w:color w:val="000000"/>
      </w:rPr>
      <w:fldChar w:fldCharType="begin"/>
    </w:r>
    <w:r w:rsidR="00186A81" w:rsidRPr="00464B98">
      <w:rPr>
        <w:color w:val="000000"/>
      </w:rPr>
      <w:instrText>PAGE</w:instrText>
    </w:r>
    <w:r w:rsidR="00186A81" w:rsidRPr="00464B98">
      <w:rPr>
        <w:color w:val="000000"/>
      </w:rPr>
      <w:fldChar w:fldCharType="separate"/>
    </w:r>
    <w:r w:rsidR="00D349EE" w:rsidRPr="00464B98">
      <w:rPr>
        <w:color w:val="000000"/>
      </w:rPr>
      <w:t>1</w:t>
    </w:r>
    <w:r w:rsidR="00186A81" w:rsidRPr="00464B98">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3DFF" w14:textId="584CD4FA" w:rsidR="005E6093" w:rsidRDefault="005D666D">
    <w:pPr>
      <w:pStyle w:val="aff6"/>
    </w:pPr>
    <w:r>
      <w:rPr>
        <w:noProof/>
      </w:rPr>
      <mc:AlternateContent>
        <mc:Choice Requires="wps">
          <w:drawing>
            <wp:anchor distT="0" distB="0" distL="0" distR="0" simplePos="0" relativeHeight="251658240" behindDoc="0" locked="0" layoutInCell="1" allowOverlap="1" wp14:anchorId="16934DD8" wp14:editId="2CDCEB2F">
              <wp:simplePos x="635" y="635"/>
              <wp:positionH relativeFrom="page">
                <wp:align>right</wp:align>
              </wp:positionH>
              <wp:positionV relativeFrom="page">
                <wp:align>bottom</wp:align>
              </wp:positionV>
              <wp:extent cx="1172210" cy="345440"/>
              <wp:effectExtent l="0" t="0" r="0" b="0"/>
              <wp:wrapNone/>
              <wp:docPr id="1701649698"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a:effectLst/>
                      <a:sp3d/>
                    </wps:spPr>
                    <wps:txbx>
                      <w:txbxContent>
                        <w:p w14:paraId="19122685" w14:textId="685C6872" w:rsidR="005D666D" w:rsidRPr="005D666D" w:rsidRDefault="005D666D" w:rsidP="005D666D">
                          <w:pPr>
                            <w:rPr>
                              <w:rFonts w:ascii="Aptos" w:eastAsia="Aptos" w:hAnsi="Aptos" w:cs="Aptos"/>
                              <w:noProof/>
                              <w:color w:val="000000"/>
                              <w:sz w:val="20"/>
                              <w:szCs w:val="20"/>
                            </w:rPr>
                          </w:pPr>
                          <w:r w:rsidRPr="005D666D">
                            <w:rPr>
                              <w:rFonts w:ascii="Aptos" w:eastAsia="Aptos" w:hAnsi="Aptos" w:cs="Aptos"/>
                              <w:noProof/>
                              <w:color w:val="000000"/>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16934DD8"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" filled="f" stroked="f">
              <v:fill o:detectmouseclick="t"/>
              <v:textbox style="mso-fit-shape-to-text:t" inset="0,0,20pt,15pt">
                <w:txbxContent>
                  <w:p w14:paraId="19122685" w14:textId="685C6872" w:rsidR="005D666D" w:rsidRPr="005D666D" w:rsidRDefault="005D666D" w:rsidP="005D666D">
                    <w:pPr>
                      <w:rPr>
                        <w:rFonts w:ascii="Aptos" w:eastAsia="Aptos" w:hAnsi="Aptos" w:cs="Aptos"/>
                        <w:noProof/>
                        <w:color w:val="000000"/>
                        <w:sz w:val="20"/>
                        <w:szCs w:val="20"/>
                      </w:rPr>
                    </w:pPr>
                    <w:r w:rsidRPr="005D666D">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164C7" w14:textId="77777777" w:rsidR="00A57C32" w:rsidRPr="00464B98" w:rsidRDefault="00A57C32">
      <w:r w:rsidRPr="00464B98">
        <w:separator/>
      </w:r>
    </w:p>
  </w:footnote>
  <w:footnote w:type="continuationSeparator" w:id="0">
    <w:p w14:paraId="5672309A" w14:textId="77777777" w:rsidR="00A57C32" w:rsidRPr="00464B98" w:rsidRDefault="00A57C32">
      <w:r w:rsidRPr="00464B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68A1" w14:textId="77777777" w:rsidR="00E31D8A" w:rsidRPr="00464B98" w:rsidRDefault="00E31D8A">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537"/>
    <w:multiLevelType w:val="multilevel"/>
    <w:tmpl w:val="46C217FE"/>
    <w:lvl w:ilvl="0">
      <w:start w:val="1"/>
      <w:numFmt w:val="upperRoman"/>
      <w:lvlText w:val="%1."/>
      <w:lvlJc w:val="left"/>
      <w:pPr>
        <w:ind w:left="284" w:hanging="284"/>
      </w:pPr>
      <w:rPr>
        <w:b/>
        <w:smallCaps w:val="0"/>
        <w:strike w:val="0"/>
        <w:shd w:val="clear" w:color="auto" w:fill="auto"/>
        <w:vertAlign w:val="baseline"/>
      </w:rPr>
    </w:lvl>
    <w:lvl w:ilvl="1">
      <w:start w:val="1"/>
      <w:numFmt w:val="lowerLetter"/>
      <w:lvlText w:val="%2."/>
      <w:lvlJc w:val="left"/>
      <w:pPr>
        <w:ind w:left="720" w:hanging="720"/>
      </w:pPr>
      <w:rPr>
        <w:b/>
        <w:smallCaps w:val="0"/>
        <w:strike w:val="0"/>
        <w:shd w:val="clear" w:color="auto" w:fill="auto"/>
        <w:vertAlign w:val="baseline"/>
      </w:rPr>
    </w:lvl>
    <w:lvl w:ilvl="2">
      <w:start w:val="1"/>
      <w:numFmt w:val="lowerRoman"/>
      <w:lvlText w:val="%3."/>
      <w:lvlJc w:val="left"/>
      <w:pPr>
        <w:ind w:left="1364" w:hanging="660"/>
      </w:pPr>
      <w:rPr>
        <w:b/>
        <w:smallCaps w:val="0"/>
        <w:strike w:val="0"/>
        <w:shd w:val="clear" w:color="auto" w:fill="auto"/>
        <w:vertAlign w:val="baseline"/>
      </w:rPr>
    </w:lvl>
    <w:lvl w:ilvl="3">
      <w:start w:val="1"/>
      <w:numFmt w:val="decimal"/>
      <w:lvlText w:val="%4."/>
      <w:lvlJc w:val="left"/>
      <w:pPr>
        <w:ind w:left="2084" w:hanging="720"/>
      </w:pPr>
      <w:rPr>
        <w:b/>
        <w:smallCaps w:val="0"/>
        <w:strike w:val="0"/>
        <w:shd w:val="clear" w:color="auto" w:fill="auto"/>
        <w:vertAlign w:val="baseline"/>
      </w:rPr>
    </w:lvl>
    <w:lvl w:ilvl="4">
      <w:start w:val="1"/>
      <w:numFmt w:val="lowerLetter"/>
      <w:lvlText w:val="%5."/>
      <w:lvlJc w:val="left"/>
      <w:pPr>
        <w:ind w:left="2804" w:hanging="720"/>
      </w:pPr>
      <w:rPr>
        <w:b/>
        <w:smallCaps w:val="0"/>
        <w:strike w:val="0"/>
        <w:shd w:val="clear" w:color="auto" w:fill="auto"/>
        <w:vertAlign w:val="baseline"/>
      </w:rPr>
    </w:lvl>
    <w:lvl w:ilvl="5">
      <w:start w:val="1"/>
      <w:numFmt w:val="lowerRoman"/>
      <w:lvlText w:val="%6."/>
      <w:lvlJc w:val="left"/>
      <w:pPr>
        <w:ind w:left="3524" w:hanging="660"/>
      </w:pPr>
      <w:rPr>
        <w:b/>
        <w:smallCaps w:val="0"/>
        <w:strike w:val="0"/>
        <w:shd w:val="clear" w:color="auto" w:fill="auto"/>
        <w:vertAlign w:val="baseline"/>
      </w:rPr>
    </w:lvl>
    <w:lvl w:ilvl="6">
      <w:start w:val="1"/>
      <w:numFmt w:val="decimal"/>
      <w:lvlText w:val="%7."/>
      <w:lvlJc w:val="left"/>
      <w:pPr>
        <w:ind w:left="4244" w:hanging="720"/>
      </w:pPr>
      <w:rPr>
        <w:b/>
        <w:smallCaps w:val="0"/>
        <w:strike w:val="0"/>
        <w:shd w:val="clear" w:color="auto" w:fill="auto"/>
        <w:vertAlign w:val="baseline"/>
      </w:rPr>
    </w:lvl>
    <w:lvl w:ilvl="7">
      <w:start w:val="1"/>
      <w:numFmt w:val="lowerLetter"/>
      <w:lvlText w:val="%8."/>
      <w:lvlJc w:val="left"/>
      <w:pPr>
        <w:ind w:left="4964" w:hanging="720"/>
      </w:pPr>
      <w:rPr>
        <w:b/>
        <w:smallCaps w:val="0"/>
        <w:strike w:val="0"/>
        <w:shd w:val="clear" w:color="auto" w:fill="auto"/>
        <w:vertAlign w:val="baseline"/>
      </w:rPr>
    </w:lvl>
    <w:lvl w:ilvl="8">
      <w:start w:val="1"/>
      <w:numFmt w:val="lowerRoman"/>
      <w:lvlText w:val="%9."/>
      <w:lvlJc w:val="left"/>
      <w:pPr>
        <w:ind w:left="5684" w:hanging="660"/>
      </w:pPr>
      <w:rPr>
        <w:b/>
        <w:smallCaps w:val="0"/>
        <w:strike w:val="0"/>
        <w:shd w:val="clear" w:color="auto" w:fill="auto"/>
        <w:vertAlign w:val="baseline"/>
      </w:rPr>
    </w:lvl>
  </w:abstractNum>
  <w:abstractNum w:abstractNumId="1" w15:restartNumberingAfterBreak="0">
    <w:nsid w:val="064F3DEF"/>
    <w:multiLevelType w:val="multilevel"/>
    <w:tmpl w:val="6FBC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40B60"/>
    <w:multiLevelType w:val="multilevel"/>
    <w:tmpl w:val="4D50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D0332"/>
    <w:multiLevelType w:val="multilevel"/>
    <w:tmpl w:val="681201CA"/>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4" w15:restartNumberingAfterBreak="0">
    <w:nsid w:val="32B508C0"/>
    <w:multiLevelType w:val="multilevel"/>
    <w:tmpl w:val="D850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029DB"/>
    <w:multiLevelType w:val="hybridMultilevel"/>
    <w:tmpl w:val="C06EC1BC"/>
    <w:lvl w:ilvl="0" w:tplc="CDD635B0">
      <w:start w:val="1"/>
      <w:numFmt w:val="decimal"/>
      <w:lvlText w:val="%1."/>
      <w:lvlJc w:val="left"/>
      <w:pPr>
        <w:ind w:left="720" w:hanging="360"/>
      </w:pPr>
      <w:rPr>
        <w:rFonts w:ascii="Times New Roman" w:hAnsi="Times New Roman" w:cs="Times New Roman" w:hint="default"/>
        <w:b/>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AE4D1E"/>
    <w:multiLevelType w:val="hybridMultilevel"/>
    <w:tmpl w:val="90DAA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8F77E28"/>
    <w:multiLevelType w:val="hybridMultilevel"/>
    <w:tmpl w:val="13FCF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C570CA"/>
    <w:multiLevelType w:val="multilevel"/>
    <w:tmpl w:val="880E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491E97"/>
    <w:multiLevelType w:val="multilevel"/>
    <w:tmpl w:val="9C40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7D1C76"/>
    <w:multiLevelType w:val="hybridMultilevel"/>
    <w:tmpl w:val="FD3CA8E6"/>
    <w:lvl w:ilvl="0" w:tplc="08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AB2C9E"/>
    <w:multiLevelType w:val="hybridMultilevel"/>
    <w:tmpl w:val="C59688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0930616"/>
    <w:multiLevelType w:val="hybridMultilevel"/>
    <w:tmpl w:val="2EB67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2AC0EB5"/>
    <w:multiLevelType w:val="hybridMultilevel"/>
    <w:tmpl w:val="844E36E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ED4A5A"/>
    <w:multiLevelType w:val="hybridMultilevel"/>
    <w:tmpl w:val="33908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3721C2"/>
    <w:multiLevelType w:val="multilevel"/>
    <w:tmpl w:val="7C2E895A"/>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num w:numId="1" w16cid:durableId="1257985570">
    <w:abstractNumId w:val="15"/>
  </w:num>
  <w:num w:numId="2" w16cid:durableId="2073042255">
    <w:abstractNumId w:val="0"/>
  </w:num>
  <w:num w:numId="3" w16cid:durableId="1308826194">
    <w:abstractNumId w:val="3"/>
  </w:num>
  <w:num w:numId="4" w16cid:durableId="749422003">
    <w:abstractNumId w:val="5"/>
  </w:num>
  <w:num w:numId="5" w16cid:durableId="1557743668">
    <w:abstractNumId w:val="13"/>
  </w:num>
  <w:num w:numId="6" w16cid:durableId="1363092708">
    <w:abstractNumId w:val="6"/>
  </w:num>
  <w:num w:numId="7" w16cid:durableId="2079594136">
    <w:abstractNumId w:val="7"/>
  </w:num>
  <w:num w:numId="8" w16cid:durableId="641815409">
    <w:abstractNumId w:val="14"/>
  </w:num>
  <w:num w:numId="9" w16cid:durableId="1468663452">
    <w:abstractNumId w:val="12"/>
  </w:num>
  <w:num w:numId="10" w16cid:durableId="1895461075">
    <w:abstractNumId w:val="9"/>
  </w:num>
  <w:num w:numId="11" w16cid:durableId="2013025917">
    <w:abstractNumId w:val="2"/>
  </w:num>
  <w:num w:numId="12" w16cid:durableId="326326555">
    <w:abstractNumId w:val="11"/>
  </w:num>
  <w:num w:numId="13" w16cid:durableId="468745831">
    <w:abstractNumId w:val="4"/>
  </w:num>
  <w:num w:numId="14" w16cid:durableId="144787783">
    <w:abstractNumId w:val="1"/>
  </w:num>
  <w:num w:numId="15" w16cid:durableId="843055306">
    <w:abstractNumId w:val="8"/>
  </w:num>
  <w:num w:numId="16" w16cid:durableId="20742210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8A"/>
    <w:rsid w:val="00067F35"/>
    <w:rsid w:val="000A287E"/>
    <w:rsid w:val="000B0ADA"/>
    <w:rsid w:val="000D5DEF"/>
    <w:rsid w:val="000E4805"/>
    <w:rsid w:val="000F5C7E"/>
    <w:rsid w:val="00117B51"/>
    <w:rsid w:val="0012308F"/>
    <w:rsid w:val="001352D5"/>
    <w:rsid w:val="00186A81"/>
    <w:rsid w:val="001A39B8"/>
    <w:rsid w:val="001B7C79"/>
    <w:rsid w:val="00200D45"/>
    <w:rsid w:val="00220D68"/>
    <w:rsid w:val="00222A80"/>
    <w:rsid w:val="0023189C"/>
    <w:rsid w:val="00234FA9"/>
    <w:rsid w:val="00244AA3"/>
    <w:rsid w:val="00265A4F"/>
    <w:rsid w:val="00297E86"/>
    <w:rsid w:val="002A37B1"/>
    <w:rsid w:val="002C08EA"/>
    <w:rsid w:val="002E5637"/>
    <w:rsid w:val="00301339"/>
    <w:rsid w:val="003054FB"/>
    <w:rsid w:val="0030657F"/>
    <w:rsid w:val="00306718"/>
    <w:rsid w:val="00341794"/>
    <w:rsid w:val="00347667"/>
    <w:rsid w:val="00370E3D"/>
    <w:rsid w:val="003909CF"/>
    <w:rsid w:val="003967C2"/>
    <w:rsid w:val="003A24E5"/>
    <w:rsid w:val="003D2B9F"/>
    <w:rsid w:val="003E2580"/>
    <w:rsid w:val="003F51BE"/>
    <w:rsid w:val="0044308C"/>
    <w:rsid w:val="004644A9"/>
    <w:rsid w:val="00464B98"/>
    <w:rsid w:val="00476A3A"/>
    <w:rsid w:val="00476D55"/>
    <w:rsid w:val="004805B8"/>
    <w:rsid w:val="00480712"/>
    <w:rsid w:val="004B38DB"/>
    <w:rsid w:val="004C25E8"/>
    <w:rsid w:val="004C3578"/>
    <w:rsid w:val="004D39FF"/>
    <w:rsid w:val="00502AAF"/>
    <w:rsid w:val="00526A93"/>
    <w:rsid w:val="00526FAD"/>
    <w:rsid w:val="005371E3"/>
    <w:rsid w:val="005D666D"/>
    <w:rsid w:val="005E5389"/>
    <w:rsid w:val="005E6093"/>
    <w:rsid w:val="005E6AEE"/>
    <w:rsid w:val="005F2D19"/>
    <w:rsid w:val="00605B65"/>
    <w:rsid w:val="00626D9D"/>
    <w:rsid w:val="0067012B"/>
    <w:rsid w:val="006B6F11"/>
    <w:rsid w:val="006C7B84"/>
    <w:rsid w:val="006E1A3C"/>
    <w:rsid w:val="006E1B02"/>
    <w:rsid w:val="00705B51"/>
    <w:rsid w:val="007310E9"/>
    <w:rsid w:val="007358AC"/>
    <w:rsid w:val="0073771F"/>
    <w:rsid w:val="00777C87"/>
    <w:rsid w:val="007838F2"/>
    <w:rsid w:val="00792ABA"/>
    <w:rsid w:val="007B51FC"/>
    <w:rsid w:val="007C63BA"/>
    <w:rsid w:val="007D43A9"/>
    <w:rsid w:val="007DB3F9"/>
    <w:rsid w:val="00807486"/>
    <w:rsid w:val="008113E7"/>
    <w:rsid w:val="00813A01"/>
    <w:rsid w:val="00814130"/>
    <w:rsid w:val="00817D3A"/>
    <w:rsid w:val="00840014"/>
    <w:rsid w:val="008408BE"/>
    <w:rsid w:val="00847337"/>
    <w:rsid w:val="00896B04"/>
    <w:rsid w:val="008B7F69"/>
    <w:rsid w:val="008C191B"/>
    <w:rsid w:val="008C25EA"/>
    <w:rsid w:val="008D6AE2"/>
    <w:rsid w:val="008E08ED"/>
    <w:rsid w:val="008E3291"/>
    <w:rsid w:val="008F068E"/>
    <w:rsid w:val="008F41E7"/>
    <w:rsid w:val="008F66BD"/>
    <w:rsid w:val="0091736B"/>
    <w:rsid w:val="00960A05"/>
    <w:rsid w:val="009703B6"/>
    <w:rsid w:val="00983FC4"/>
    <w:rsid w:val="009857F3"/>
    <w:rsid w:val="009961BA"/>
    <w:rsid w:val="009B16B4"/>
    <w:rsid w:val="009B6093"/>
    <w:rsid w:val="00A5274A"/>
    <w:rsid w:val="00A57C32"/>
    <w:rsid w:val="00A60166"/>
    <w:rsid w:val="00A65E61"/>
    <w:rsid w:val="00A734DE"/>
    <w:rsid w:val="00A8698A"/>
    <w:rsid w:val="00A932D5"/>
    <w:rsid w:val="00A9479D"/>
    <w:rsid w:val="00AA4E7E"/>
    <w:rsid w:val="00AA66FE"/>
    <w:rsid w:val="00AC53B0"/>
    <w:rsid w:val="00AC6FC2"/>
    <w:rsid w:val="00B022F9"/>
    <w:rsid w:val="00B038CC"/>
    <w:rsid w:val="00B048E4"/>
    <w:rsid w:val="00B12EA9"/>
    <w:rsid w:val="00B21CC7"/>
    <w:rsid w:val="00B24AAC"/>
    <w:rsid w:val="00B5365F"/>
    <w:rsid w:val="00B6693F"/>
    <w:rsid w:val="00B8358B"/>
    <w:rsid w:val="00B93D9B"/>
    <w:rsid w:val="00B9536C"/>
    <w:rsid w:val="00BB1D31"/>
    <w:rsid w:val="00BD6397"/>
    <w:rsid w:val="00BF044D"/>
    <w:rsid w:val="00BF0F83"/>
    <w:rsid w:val="00C15A45"/>
    <w:rsid w:val="00C40FCF"/>
    <w:rsid w:val="00C617F7"/>
    <w:rsid w:val="00C80D20"/>
    <w:rsid w:val="00CA1F42"/>
    <w:rsid w:val="00CD06E2"/>
    <w:rsid w:val="00CD48C5"/>
    <w:rsid w:val="00CE64AE"/>
    <w:rsid w:val="00CF1077"/>
    <w:rsid w:val="00D06403"/>
    <w:rsid w:val="00D22E4B"/>
    <w:rsid w:val="00D32410"/>
    <w:rsid w:val="00D349EE"/>
    <w:rsid w:val="00D3741E"/>
    <w:rsid w:val="00D424F8"/>
    <w:rsid w:val="00D52BAC"/>
    <w:rsid w:val="00D66350"/>
    <w:rsid w:val="00D75BD0"/>
    <w:rsid w:val="00D94688"/>
    <w:rsid w:val="00DB5D61"/>
    <w:rsid w:val="00DC7F26"/>
    <w:rsid w:val="00DD0BFA"/>
    <w:rsid w:val="00DD4E1F"/>
    <w:rsid w:val="00E14744"/>
    <w:rsid w:val="00E31D8A"/>
    <w:rsid w:val="00E80233"/>
    <w:rsid w:val="00EE05F1"/>
    <w:rsid w:val="00F05B51"/>
    <w:rsid w:val="00F2304E"/>
    <w:rsid w:val="00F31D90"/>
    <w:rsid w:val="00F33E18"/>
    <w:rsid w:val="00F441BD"/>
    <w:rsid w:val="00F721AB"/>
    <w:rsid w:val="00F80D14"/>
    <w:rsid w:val="00FA261E"/>
    <w:rsid w:val="00FA795B"/>
    <w:rsid w:val="00FB552D"/>
    <w:rsid w:val="00FC4D6A"/>
    <w:rsid w:val="00FF03F7"/>
    <w:rsid w:val="00FF34D5"/>
    <w:rsid w:val="00FF6DAC"/>
    <w:rsid w:val="029D915C"/>
    <w:rsid w:val="032D1D85"/>
    <w:rsid w:val="05470059"/>
    <w:rsid w:val="0BADEB89"/>
    <w:rsid w:val="0D1AA7DE"/>
    <w:rsid w:val="1356DE65"/>
    <w:rsid w:val="14B1C017"/>
    <w:rsid w:val="1AFBC361"/>
    <w:rsid w:val="1D7B19D3"/>
    <w:rsid w:val="1DF97519"/>
    <w:rsid w:val="22FD47C8"/>
    <w:rsid w:val="29647935"/>
    <w:rsid w:val="2B0B6A90"/>
    <w:rsid w:val="2B278FA6"/>
    <w:rsid w:val="2CB4B024"/>
    <w:rsid w:val="2E625A1F"/>
    <w:rsid w:val="2E849AB7"/>
    <w:rsid w:val="30922ED4"/>
    <w:rsid w:val="376EB002"/>
    <w:rsid w:val="388AF6DC"/>
    <w:rsid w:val="3AEA21C9"/>
    <w:rsid w:val="4074F638"/>
    <w:rsid w:val="42E82387"/>
    <w:rsid w:val="439C6E5B"/>
    <w:rsid w:val="4C587E98"/>
    <w:rsid w:val="4D45CE7B"/>
    <w:rsid w:val="4DB30FE6"/>
    <w:rsid w:val="5219CB23"/>
    <w:rsid w:val="59360BA8"/>
    <w:rsid w:val="5AFB1049"/>
    <w:rsid w:val="5C3D70EB"/>
    <w:rsid w:val="5CB9BB8F"/>
    <w:rsid w:val="5FC679C1"/>
    <w:rsid w:val="603240BC"/>
    <w:rsid w:val="6206E111"/>
    <w:rsid w:val="621AC163"/>
    <w:rsid w:val="64C6BEC9"/>
    <w:rsid w:val="66EDD44F"/>
    <w:rsid w:val="715C8400"/>
    <w:rsid w:val="72964F6E"/>
    <w:rsid w:val="79A5AEC3"/>
    <w:rsid w:val="7C3C3108"/>
    <w:rsid w:val="7CCB4EAF"/>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D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F42"/>
    <w:rPr>
      <w:lang w:val="en-US"/>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character" w:styleId="a4">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numbering" w:customStyle="1" w:styleId="ImportedStyle10">
    <w:name w:val="Imported Style 10"/>
  </w:style>
  <w:style w:type="character" w:customStyle="1" w:styleId="None">
    <w:name w:val="None"/>
  </w:style>
  <w:style w:type="character" w:customStyle="1" w:styleId="Hyperlink0">
    <w:name w:val="Hyperlink.0"/>
    <w:basedOn w:val="None"/>
    <w:rPr>
      <w:rFonts w:ascii="Times New Roman" w:eastAsia="Times New Roman" w:hAnsi="Times New Roman" w:cs="Times New Roman"/>
      <w:caps w:val="0"/>
      <w:smallCaps w:val="0"/>
      <w:strike w:val="0"/>
      <w:dstrike w:val="0"/>
      <w:outline w:val="0"/>
      <w:color w:val="000000"/>
      <w:sz w:val="20"/>
      <w:szCs w:val="20"/>
      <w:u w:val="single" w:color="000000"/>
      <w:vertAlign w:val="baseline"/>
    </w:rPr>
  </w:style>
  <w:style w:type="paragraph" w:customStyle="1" w:styleId="Default">
    <w:name w:val="Default"/>
    <w:pPr>
      <w:spacing w:before="160" w:line="288" w:lineRule="auto"/>
    </w:pPr>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ImportedStyle1">
    <w:name w:val="Imported Style 1"/>
  </w:style>
  <w:style w:type="numbering" w:customStyle="1" w:styleId="ImportedStyle100">
    <w:name w:val="Imported Style 1.0"/>
  </w:style>
  <w:style w:type="numbering" w:customStyle="1" w:styleId="ImportedStyle2">
    <w:name w:val="Imported Style 2"/>
  </w:style>
  <w:style w:type="numbering" w:customStyle="1" w:styleId="ImportedStyle3">
    <w:name w:val="Imported Style 3"/>
  </w:style>
  <w:style w:type="numbering" w:customStyle="1" w:styleId="ImportedStyle5">
    <w:name w:val="Imported Style 5"/>
  </w:style>
  <w:style w:type="numbering" w:customStyle="1" w:styleId="ImportedStyle1000">
    <w:name w:val="Imported Style 10.0"/>
  </w:style>
  <w:style w:type="paragraph" w:styleId="a5">
    <w:name w:val="annotation text"/>
    <w:basedOn w:val="a"/>
    <w:link w:val="a6"/>
    <w:uiPriority w:val="99"/>
    <w:semiHidden/>
    <w:unhideWhenUsed/>
    <w:rPr>
      <w:sz w:val="20"/>
      <w:szCs w:val="20"/>
    </w:rPr>
  </w:style>
  <w:style w:type="character" w:customStyle="1" w:styleId="a6">
    <w:name w:val="Текст примечания Знак"/>
    <w:basedOn w:val="a0"/>
    <w:link w:val="a5"/>
    <w:uiPriority w:val="99"/>
    <w:semiHidden/>
  </w:style>
  <w:style w:type="character" w:styleId="a7">
    <w:name w:val="annotation reference"/>
    <w:basedOn w:val="a0"/>
    <w:uiPriority w:val="99"/>
    <w:semiHidden/>
    <w:unhideWhenUsed/>
    <w:rPr>
      <w:sz w:val="16"/>
      <w:szCs w:val="16"/>
    </w:rPr>
  </w:style>
  <w:style w:type="paragraph" w:styleId="a8">
    <w:name w:val="footnote text"/>
    <w:basedOn w:val="a"/>
    <w:link w:val="a9"/>
    <w:uiPriority w:val="99"/>
    <w:semiHidden/>
    <w:unhideWhenUsed/>
    <w:rsid w:val="008F2BA5"/>
    <w:rPr>
      <w:sz w:val="20"/>
      <w:szCs w:val="20"/>
    </w:rPr>
  </w:style>
  <w:style w:type="character" w:customStyle="1" w:styleId="a9">
    <w:name w:val="Текст сноски Знак"/>
    <w:basedOn w:val="a0"/>
    <w:link w:val="a8"/>
    <w:uiPriority w:val="99"/>
    <w:semiHidden/>
    <w:rsid w:val="008F2BA5"/>
  </w:style>
  <w:style w:type="character" w:styleId="aa">
    <w:name w:val="footnote reference"/>
    <w:basedOn w:val="a0"/>
    <w:uiPriority w:val="99"/>
    <w:semiHidden/>
    <w:unhideWhenUsed/>
    <w:rsid w:val="008F2BA5"/>
    <w:rPr>
      <w:vertAlign w:val="superscript"/>
    </w:rPr>
  </w:style>
  <w:style w:type="paragraph" w:styleId="ab">
    <w:name w:val="annotation subject"/>
    <w:basedOn w:val="a5"/>
    <w:next w:val="a5"/>
    <w:link w:val="ac"/>
    <w:uiPriority w:val="99"/>
    <w:semiHidden/>
    <w:unhideWhenUsed/>
    <w:rsid w:val="00621305"/>
    <w:rPr>
      <w:b/>
      <w:bCs/>
    </w:rPr>
  </w:style>
  <w:style w:type="character" w:customStyle="1" w:styleId="ac">
    <w:name w:val="Тема примечания Знак"/>
    <w:basedOn w:val="a6"/>
    <w:link w:val="ab"/>
    <w:uiPriority w:val="99"/>
    <w:semiHidden/>
    <w:rsid w:val="00621305"/>
    <w:rPr>
      <w:b/>
      <w:bCs/>
    </w:rPr>
  </w:style>
  <w:style w:type="paragraph" w:styleId="ad">
    <w:name w:val="List Paragraph"/>
    <w:aliases w:val="Main numbered paragraph,List Paragraph (numbered (a)),Normal 2,References,List_Paragraph,Multilevel para_II,List Paragraph1,Numbered List Paragraph,Bullets,Colorful List - Accent 11,123 List Paragraph,Bullet,Normal 2 DC,Liste 1"/>
    <w:basedOn w:val="a"/>
    <w:link w:val="ae"/>
    <w:uiPriority w:val="34"/>
    <w:qFormat/>
    <w:rsid w:val="00BD3F5C"/>
    <w:pPr>
      <w:spacing w:after="160" w:line="259" w:lineRule="auto"/>
      <w:ind w:left="720"/>
      <w:contextualSpacing/>
    </w:pPr>
    <w:rPr>
      <w:rFonts w:asciiTheme="minorHAnsi" w:eastAsiaTheme="minorHAnsi" w:hAnsiTheme="minorHAnsi" w:cstheme="minorBidi"/>
      <w:sz w:val="22"/>
      <w:szCs w:val="22"/>
    </w:rPr>
  </w:style>
  <w:style w:type="character" w:customStyle="1" w:styleId="ae">
    <w:name w:val="Абзац списка Знак"/>
    <w:aliases w:val="Main numbered paragraph Знак,List Paragraph (numbered (a)) Знак,Normal 2 Знак,References Знак,List_Paragraph Знак,Multilevel para_II Знак,List Paragraph1 Знак,Numbered List Paragraph Знак,Bullets Знак,Colorful List - Accent 11 Знак"/>
    <w:basedOn w:val="a0"/>
    <w:link w:val="ad"/>
    <w:uiPriority w:val="34"/>
    <w:locked/>
    <w:rsid w:val="00BD3F5C"/>
    <w:rPr>
      <w:rFonts w:asciiTheme="minorHAnsi" w:eastAsiaTheme="minorHAnsi" w:hAnsiTheme="minorHAnsi" w:cstheme="minorBidi"/>
      <w:sz w:val="22"/>
      <w:szCs w:val="22"/>
      <w:bdr w:val="none" w:sz="0" w:space="0" w:color="auto"/>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customStyle="1" w:styleId="aff1">
    <w:basedOn w:val="a1"/>
    <w:tblPr>
      <w:tblStyleRowBandSize w:val="1"/>
      <w:tblStyleColBandSize w:val="1"/>
      <w:tblCellMar>
        <w:left w:w="115" w:type="dxa"/>
        <w:right w:w="115" w:type="dxa"/>
      </w:tblCellMar>
    </w:tblPr>
  </w:style>
  <w:style w:type="table" w:customStyle="1" w:styleId="aff2">
    <w:basedOn w:val="a1"/>
    <w:tblPr>
      <w:tblStyleRowBandSize w:val="1"/>
      <w:tblStyleColBandSize w:val="1"/>
      <w:tblCellMar>
        <w:left w:w="115" w:type="dxa"/>
        <w:right w:w="115" w:type="dxa"/>
      </w:tblCellMar>
    </w:tblPr>
  </w:style>
  <w:style w:type="table" w:customStyle="1" w:styleId="aff3">
    <w:basedOn w:val="a1"/>
    <w:tblPr>
      <w:tblStyleRowBandSize w:val="1"/>
      <w:tblStyleColBandSize w:val="1"/>
      <w:tblCellMar>
        <w:left w:w="115" w:type="dxa"/>
        <w:right w:w="115" w:type="dxa"/>
      </w:tblCellMar>
    </w:tblPr>
  </w:style>
  <w:style w:type="paragraph" w:styleId="aff4">
    <w:name w:val="header"/>
    <w:basedOn w:val="a"/>
    <w:link w:val="aff5"/>
    <w:uiPriority w:val="99"/>
    <w:unhideWhenUsed/>
    <w:rsid w:val="00B9145A"/>
    <w:pPr>
      <w:tabs>
        <w:tab w:val="center" w:pos="4677"/>
        <w:tab w:val="right" w:pos="9355"/>
      </w:tabs>
    </w:pPr>
  </w:style>
  <w:style w:type="character" w:customStyle="1" w:styleId="aff5">
    <w:name w:val="Верхний колонтитул Знак"/>
    <w:basedOn w:val="a0"/>
    <w:link w:val="aff4"/>
    <w:uiPriority w:val="99"/>
    <w:rsid w:val="00B9145A"/>
  </w:style>
  <w:style w:type="paragraph" w:styleId="aff6">
    <w:name w:val="footer"/>
    <w:basedOn w:val="a"/>
    <w:link w:val="aff7"/>
    <w:uiPriority w:val="99"/>
    <w:unhideWhenUsed/>
    <w:rsid w:val="00B9145A"/>
    <w:pPr>
      <w:tabs>
        <w:tab w:val="center" w:pos="4677"/>
        <w:tab w:val="right" w:pos="9355"/>
      </w:tabs>
    </w:pPr>
  </w:style>
  <w:style w:type="character" w:customStyle="1" w:styleId="aff7">
    <w:name w:val="Нижний колонтитул Знак"/>
    <w:basedOn w:val="a0"/>
    <w:link w:val="aff6"/>
    <w:uiPriority w:val="99"/>
    <w:rsid w:val="00B9145A"/>
  </w:style>
  <w:style w:type="table" w:customStyle="1" w:styleId="aff8">
    <w:basedOn w:val="TableNormal10"/>
    <w:tblPr>
      <w:tblStyleRowBandSize w:val="1"/>
      <w:tblStyleColBandSize w:val="1"/>
      <w:tblCellMar>
        <w:left w:w="115" w:type="dxa"/>
        <w:right w:w="115" w:type="dxa"/>
      </w:tblCellMar>
    </w:tblPr>
  </w:style>
  <w:style w:type="table" w:customStyle="1" w:styleId="aff9">
    <w:basedOn w:val="TableNormal10"/>
    <w:tblPr>
      <w:tblStyleRowBandSize w:val="1"/>
      <w:tblStyleColBandSize w:val="1"/>
      <w:tblCellMar>
        <w:left w:w="115" w:type="dxa"/>
        <w:right w:w="115" w:type="dxa"/>
      </w:tblCellMar>
    </w:tblPr>
  </w:style>
  <w:style w:type="table" w:customStyle="1" w:styleId="affa">
    <w:basedOn w:val="TableNormal10"/>
    <w:tblPr>
      <w:tblStyleRowBandSize w:val="1"/>
      <w:tblStyleColBandSize w:val="1"/>
      <w:tblCellMar>
        <w:left w:w="115" w:type="dxa"/>
        <w:right w:w="115" w:type="dxa"/>
      </w:tblCellMar>
    </w:tblPr>
  </w:style>
  <w:style w:type="table" w:customStyle="1" w:styleId="affb">
    <w:basedOn w:val="TableNormal1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styleId="-11">
    <w:name w:val="Grid Table 1 Light Accent 1"/>
    <w:basedOn w:val="a1"/>
    <w:uiPriority w:val="46"/>
    <w:rsid w:val="00F31D9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afff0">
    <w:name w:val="Table Grid"/>
    <w:basedOn w:val="a1"/>
    <w:uiPriority w:val="39"/>
    <w:rsid w:val="001B7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next w:val="-11"/>
    <w:uiPriority w:val="46"/>
    <w:rsid w:val="00222A80"/>
    <w:rPr>
      <w:rFonts w:ascii="Aptos" w:eastAsia="Aptos" w:hAnsi="Aptos" w:cs="Arial"/>
      <w:kern w:val="2"/>
      <w:sz w:val="22"/>
      <w:szCs w:val="22"/>
      <w:lang w:val="en-AU" w:eastAsia="en-US"/>
      <w14:ligatures w14:val="standardContextual"/>
    </w:rPr>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 w:type="table" w:styleId="-1">
    <w:name w:val="Grid Table 1 Light"/>
    <w:basedOn w:val="a1"/>
    <w:uiPriority w:val="46"/>
    <w:rsid w:val="00222A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f1">
    <w:name w:val="Normal (Web)"/>
    <w:basedOn w:val="a"/>
    <w:uiPriority w:val="99"/>
    <w:unhideWhenUsed/>
    <w:rsid w:val="009B6093"/>
    <w:pPr>
      <w:spacing w:before="100" w:beforeAutospacing="1" w:after="100" w:afterAutospacing="1"/>
    </w:pPr>
  </w:style>
  <w:style w:type="paragraph" w:styleId="afff2">
    <w:name w:val="Revision"/>
    <w:hidden/>
    <w:uiPriority w:val="99"/>
    <w:semiHidden/>
    <w:rsid w:val="0030671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63386">
      <w:bodyDiv w:val="1"/>
      <w:marLeft w:val="0"/>
      <w:marRight w:val="0"/>
      <w:marTop w:val="0"/>
      <w:marBottom w:val="0"/>
      <w:divBdr>
        <w:top w:val="none" w:sz="0" w:space="0" w:color="auto"/>
        <w:left w:val="none" w:sz="0" w:space="0" w:color="auto"/>
        <w:bottom w:val="none" w:sz="0" w:space="0" w:color="auto"/>
        <w:right w:val="none" w:sz="0" w:space="0" w:color="auto"/>
      </w:divBdr>
    </w:div>
    <w:div w:id="1573733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UJ6GJbadJMGkHZeQ+DRQF54Cuw==">AMUW2mU+Bv0sPqj/VSLp9GoRakDRbyFajq+UAMYixogQQpSMpw+B7d0qXmkzvUDRWule9+e2sn9ZyiN3fEvkgHxg3WWw6OMK88ArfXBfAbO8u8Si1MqWxqLDTv0omvlhjZWRZGD/i6kLOSQT7yHUH+nZQzfNzPRONyI5JPxf2Wo5sEn/FeETEMuiYXRycq/DHTTiE1fuS01Y85AEvc6b6hSeX6YQY1pAj68GT2HPcm1gqeXzuwTJDs0=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CD432B-ED2E-4874-A7C0-DAF2E6D9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3415</Words>
  <Characters>19467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2026-02-03T04:12:00Z</dcterms:created>
  <dcterms:modified xsi:type="dcterms:W3CDTF">2026-02-03T04:17:00Z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656d1d22,7d51c574,281e7551</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2026-01-30T20:50:53Z</vt:lpwstr>
  </property>
  <property fmtid="{D5CDD505-2E9C-101B-9397-08002B2CF9AE}" pid="7" name="MSIP_Label_f1bf45b6-5649-4236-82a3-f45024cd282e_Method">
    <vt:lpwstr>Privileged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413003ec-b1d3-437d-95c8-19c7225beff7</vt:lpwstr>
  </property>
  <property fmtid="{D5CDD505-2E9C-101B-9397-08002B2CF9AE}" pid="11" name="MSIP_Label_f1bf45b6-5649-4236-82a3-f45024cd282e_ContentBits">
    <vt:lpwstr>2</vt:lpwstr>
  </property>
  <property fmtid="{D5CDD505-2E9C-101B-9397-08002B2CF9AE}" pid="12" name="MSIP_Label_f1bf45b6-5649-4236-82a3-f45024cd282e_Tag">
    <vt:lpwstr>10, 2, 1, 1</vt:lpwstr>
  </property>
</Properties>
</file>